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33F" w:rsidRDefault="00E5133F">
      <w:pPr>
        <w:pStyle w:val="Zkladntext2"/>
        <w:spacing w:after="0" w:line="24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caps/>
        </w:rPr>
        <w:t>Metodické vysvetlivky</w:t>
      </w:r>
    </w:p>
    <w:p w:rsidR="00E5133F" w:rsidRDefault="00E5133F">
      <w:pPr>
        <w:pStyle w:val="Zkladntext2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 xml:space="preserve">k formuláru </w:t>
      </w:r>
      <w:r>
        <w:rPr>
          <w:rFonts w:ascii="Arial" w:hAnsi="Arial" w:cs="Arial"/>
          <w:b/>
          <w:bCs/>
          <w:caps/>
        </w:rPr>
        <w:t>INTRASTAT 2-12</w:t>
      </w:r>
      <w:r>
        <w:rPr>
          <w:rFonts w:ascii="Arial" w:hAnsi="Arial" w:cs="Arial"/>
          <w:b/>
          <w:bCs/>
          <w:caps/>
          <w:sz w:val="20"/>
          <w:szCs w:val="20"/>
        </w:rPr>
        <w:t xml:space="preserve"> / Hlásenie o odoslaní tovaru</w:t>
      </w:r>
    </w:p>
    <w:p w:rsidR="00E5133F" w:rsidRDefault="00E5133F">
      <w:pPr>
        <w:pStyle w:val="Zkladntext2"/>
        <w:spacing w:after="0" w:line="240" w:lineRule="auto"/>
        <w:rPr>
          <w:rFonts w:ascii="Arial" w:hAnsi="Arial" w:cs="Arial"/>
          <w:sz w:val="20"/>
          <w:szCs w:val="20"/>
        </w:rPr>
      </w:pPr>
    </w:p>
    <w:p w:rsidR="00E5133F" w:rsidRDefault="00E5133F">
      <w:pPr>
        <w:pStyle w:val="Zkladntext2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Spravodajské jednotky </w:t>
      </w:r>
      <w:r w:rsidR="00953EA4">
        <w:rPr>
          <w:rFonts w:ascii="Arial" w:hAnsi="Arial" w:cs="Arial"/>
          <w:sz w:val="20"/>
          <w:szCs w:val="20"/>
        </w:rPr>
        <w:t xml:space="preserve">predkladajú hlásenie elektronicky (viac v časti </w:t>
      </w:r>
      <w:r w:rsidR="00953EA4">
        <w:rPr>
          <w:rFonts w:ascii="Arial" w:hAnsi="Arial" w:cs="Arial"/>
          <w:b/>
          <w:sz w:val="20"/>
          <w:szCs w:val="20"/>
        </w:rPr>
        <w:t xml:space="preserve">Všeobecné pravidlá pre používanie elektronického hlásenia </w:t>
      </w:r>
      <w:r w:rsidR="00953EA4">
        <w:rPr>
          <w:rFonts w:ascii="Arial" w:hAnsi="Arial" w:cs="Arial"/>
          <w:sz w:val="20"/>
          <w:szCs w:val="20"/>
        </w:rPr>
        <w:t xml:space="preserve">v Príručke pre spravodajské jednotky). K vypracovaniu hlásenia môže spravodajská jednotka použiť ako vzor </w:t>
      </w:r>
      <w:r>
        <w:rPr>
          <w:rFonts w:ascii="Arial" w:hAnsi="Arial" w:cs="Arial"/>
          <w:sz w:val="20"/>
          <w:szCs w:val="20"/>
        </w:rPr>
        <w:t>formulár INTRASTAT 2-12 / Hlásenie o odoslaní tovaru</w:t>
      </w:r>
      <w:r w:rsidR="00953EA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953EA4">
        <w:rPr>
          <w:rFonts w:ascii="Arial" w:hAnsi="Arial" w:cs="Arial"/>
          <w:sz w:val="20"/>
          <w:szCs w:val="20"/>
        </w:rPr>
        <w:t xml:space="preserve">Hlásenie </w:t>
      </w:r>
      <w:r>
        <w:rPr>
          <w:rFonts w:ascii="Arial" w:hAnsi="Arial" w:cs="Arial"/>
          <w:sz w:val="20"/>
          <w:szCs w:val="20"/>
        </w:rPr>
        <w:t>môže pozostávať z viacerých vyplnených formulárov INTRASTAT 2-12</w:t>
      </w:r>
      <w:r w:rsidR="00953EA4">
        <w:rPr>
          <w:rFonts w:ascii="Arial" w:hAnsi="Arial" w:cs="Arial"/>
          <w:sz w:val="20"/>
          <w:szCs w:val="20"/>
        </w:rPr>
        <w:t xml:space="preserve"> (ďalej len „hlásenie“). Hlásenie slúži</w:t>
      </w:r>
      <w:r>
        <w:rPr>
          <w:rFonts w:ascii="Arial" w:hAnsi="Arial" w:cs="Arial"/>
          <w:sz w:val="20"/>
          <w:szCs w:val="20"/>
        </w:rPr>
        <w:t xml:space="preserve"> na predkladanie informácií o tovaroch </w:t>
      </w:r>
      <w:r w:rsidR="00F155F4">
        <w:rPr>
          <w:rFonts w:ascii="Arial" w:hAnsi="Arial" w:cs="Arial"/>
          <w:sz w:val="20"/>
          <w:szCs w:val="20"/>
        </w:rPr>
        <w:t>Európskej únie (EÚ)</w:t>
      </w:r>
      <w:r>
        <w:rPr>
          <w:rFonts w:ascii="Arial" w:hAnsi="Arial" w:cs="Arial"/>
          <w:sz w:val="20"/>
          <w:szCs w:val="20"/>
        </w:rPr>
        <w:t xml:space="preserve"> opúšťajúcich územie Slovenskej republiky, mimo tovarov v tranzite. Obsah týchto hlásení sa používa výhradne na štatistické účely.</w:t>
      </w:r>
    </w:p>
    <w:p w:rsidR="00E5133F" w:rsidRDefault="00E5133F">
      <w:pPr>
        <w:pStyle w:val="Zkladntext2"/>
        <w:spacing w:after="0" w:line="240" w:lineRule="auto"/>
        <w:rPr>
          <w:rFonts w:ascii="Arial" w:hAnsi="Arial" w:cs="Arial"/>
          <w:sz w:val="12"/>
          <w:szCs w:val="12"/>
        </w:rPr>
      </w:pPr>
    </w:p>
    <w:p w:rsidR="00E5133F" w:rsidRDefault="00E5133F">
      <w:pPr>
        <w:pStyle w:val="Zkladntext2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Spravodajskou jednotkou je každá </w:t>
      </w:r>
      <w:r w:rsidR="0096198B">
        <w:rPr>
          <w:rFonts w:ascii="Arial" w:hAnsi="Arial" w:cs="Arial"/>
          <w:sz w:val="20"/>
          <w:szCs w:val="20"/>
        </w:rPr>
        <w:t xml:space="preserve">zdaniteľná </w:t>
      </w:r>
      <w:r>
        <w:rPr>
          <w:rFonts w:ascii="Arial" w:hAnsi="Arial" w:cs="Arial"/>
          <w:sz w:val="20"/>
          <w:szCs w:val="20"/>
        </w:rPr>
        <w:t xml:space="preserve">osoba registrovaná pre daň z pridanej hodnoty (DPH) v Slovenskej republike (podľa platného zákona o DPH), ktorá za predchádzajúci kalendárny rok </w:t>
      </w:r>
      <w:r w:rsidR="00F155F4">
        <w:rPr>
          <w:rFonts w:ascii="Arial" w:hAnsi="Arial" w:cs="Arial"/>
          <w:sz w:val="20"/>
          <w:szCs w:val="20"/>
        </w:rPr>
        <w:t xml:space="preserve">alebo od začiatku sledovaného roka </w:t>
      </w:r>
      <w:r>
        <w:rPr>
          <w:rFonts w:ascii="Arial" w:hAnsi="Arial" w:cs="Arial"/>
          <w:sz w:val="20"/>
          <w:szCs w:val="20"/>
        </w:rPr>
        <w:t xml:space="preserve">odoslala tovar </w:t>
      </w:r>
      <w:r w:rsidR="00F155F4">
        <w:rPr>
          <w:rFonts w:ascii="Arial" w:hAnsi="Arial" w:cs="Arial"/>
          <w:sz w:val="20"/>
          <w:szCs w:val="20"/>
        </w:rPr>
        <w:t>EÚ</w:t>
      </w:r>
      <w:r>
        <w:rPr>
          <w:rFonts w:ascii="Arial" w:hAnsi="Arial" w:cs="Arial"/>
          <w:sz w:val="20"/>
          <w:szCs w:val="20"/>
        </w:rPr>
        <w:t xml:space="preserve"> v súhrnnej hodnote vyššej ako </w:t>
      </w:r>
      <w:r w:rsidR="00F155F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00 000 EUR.</w:t>
      </w:r>
    </w:p>
    <w:p w:rsidR="00E5133F" w:rsidRPr="00B17A56" w:rsidRDefault="00E5133F">
      <w:pPr>
        <w:pStyle w:val="Zkladntext2"/>
        <w:spacing w:after="0" w:line="240" w:lineRule="auto"/>
        <w:rPr>
          <w:rFonts w:ascii="Arial" w:hAnsi="Arial" w:cs="Arial"/>
          <w:sz w:val="20"/>
          <w:szCs w:val="20"/>
        </w:rPr>
      </w:pPr>
    </w:p>
    <w:p w:rsidR="00E5133F" w:rsidRDefault="00E5133F">
      <w:pPr>
        <w:pStyle w:val="Zkladntext2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Nulové hlásenie</w:t>
      </w:r>
    </w:p>
    <w:p w:rsidR="00E5133F" w:rsidRDefault="00E5133F">
      <w:pPr>
        <w:pStyle w:val="Zkladntext2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Pokiaľ je spravodajská jednotka povinná poskytovať informácie o odoslaniach, ale v sledovanom období neuskutočnila žiadnu transakciu, predloží nulové hlásenie. </w:t>
      </w:r>
    </w:p>
    <w:p w:rsidR="00E5133F" w:rsidRDefault="00E5133F">
      <w:pPr>
        <w:pStyle w:val="Zkladntext2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nulové hlásenie sa považuje formulár INTRASTAT 2-12 vyplnený v odseku 1 </w:t>
      </w:r>
      <w:r>
        <w:rPr>
          <w:rFonts w:ascii="Arial" w:hAnsi="Arial" w:cs="Arial"/>
          <w:i/>
          <w:iCs/>
          <w:sz w:val="20"/>
          <w:szCs w:val="20"/>
        </w:rPr>
        <w:t>Spravodajská jednotka</w:t>
      </w:r>
      <w:r>
        <w:rPr>
          <w:rFonts w:ascii="Arial" w:hAnsi="Arial" w:cs="Arial"/>
          <w:sz w:val="20"/>
          <w:szCs w:val="20"/>
        </w:rPr>
        <w:t xml:space="preserve"> a v odseku 3 </w:t>
      </w:r>
      <w:r>
        <w:rPr>
          <w:rFonts w:ascii="Arial" w:hAnsi="Arial" w:cs="Arial"/>
          <w:i/>
          <w:iCs/>
          <w:sz w:val="20"/>
          <w:szCs w:val="20"/>
        </w:rPr>
        <w:t>Obdobie</w:t>
      </w:r>
      <w:r>
        <w:rPr>
          <w:rFonts w:ascii="Arial" w:hAnsi="Arial" w:cs="Arial"/>
          <w:sz w:val="20"/>
          <w:szCs w:val="20"/>
        </w:rPr>
        <w:t xml:space="preserve">, pričom v odseku 4 </w:t>
      </w:r>
      <w:r>
        <w:rPr>
          <w:rFonts w:ascii="Arial" w:hAnsi="Arial" w:cs="Arial"/>
          <w:i/>
          <w:iCs/>
          <w:sz w:val="20"/>
          <w:szCs w:val="20"/>
        </w:rPr>
        <w:t>Formuláre</w:t>
      </w:r>
      <w:r>
        <w:rPr>
          <w:rFonts w:ascii="Arial" w:hAnsi="Arial" w:cs="Arial"/>
          <w:sz w:val="20"/>
          <w:szCs w:val="20"/>
        </w:rPr>
        <w:t xml:space="preserve"> sa v prvom aj v druhom pododseku uvedie „1“, v odseku 5 </w:t>
      </w:r>
      <w:r>
        <w:rPr>
          <w:rFonts w:ascii="Arial" w:hAnsi="Arial" w:cs="Arial"/>
          <w:i/>
          <w:iCs/>
          <w:sz w:val="20"/>
          <w:szCs w:val="20"/>
        </w:rPr>
        <w:t>Celkový počet položiek</w:t>
      </w:r>
      <w:r>
        <w:rPr>
          <w:rFonts w:ascii="Arial" w:hAnsi="Arial" w:cs="Arial"/>
          <w:sz w:val="20"/>
          <w:szCs w:val="20"/>
        </w:rPr>
        <w:t xml:space="preserve"> sa uvedie „0“ a v odseku 6a) </w:t>
      </w:r>
      <w:r>
        <w:rPr>
          <w:rFonts w:ascii="Arial" w:hAnsi="Arial" w:cs="Arial"/>
          <w:i/>
          <w:iCs/>
          <w:sz w:val="20"/>
          <w:szCs w:val="20"/>
        </w:rPr>
        <w:t xml:space="preserve">Poradové číslo hlásenia v sledovanom období </w:t>
      </w:r>
      <w:r>
        <w:rPr>
          <w:rFonts w:ascii="Arial" w:hAnsi="Arial" w:cs="Arial"/>
          <w:sz w:val="20"/>
          <w:szCs w:val="20"/>
        </w:rPr>
        <w:t xml:space="preserve">sa uvedie číslo tak, aby poradie hlásení v sledovanom období nasledovalo za sebou a bez prerušenia. Ak spravodajská jednotka poverila tretiu stranu, aby predložila hlásenie, vyplní sa aj odsek 2 </w:t>
      </w:r>
      <w:r>
        <w:rPr>
          <w:rFonts w:ascii="Arial" w:hAnsi="Arial" w:cs="Arial"/>
          <w:i/>
          <w:iCs/>
          <w:sz w:val="20"/>
          <w:szCs w:val="20"/>
        </w:rPr>
        <w:t>Zástupca</w:t>
      </w:r>
      <w:r>
        <w:rPr>
          <w:rFonts w:ascii="Arial" w:hAnsi="Arial" w:cs="Arial"/>
          <w:sz w:val="20"/>
          <w:szCs w:val="20"/>
        </w:rPr>
        <w:t>. Odseky 21 a 22 sa vyplnia štandardným spôsobom. Ostatné odseky sa nevypĺňajú.</w:t>
      </w:r>
    </w:p>
    <w:p w:rsidR="00E5133F" w:rsidRPr="00B17A56" w:rsidRDefault="00E5133F">
      <w:pPr>
        <w:pStyle w:val="Zkladntext2"/>
        <w:spacing w:after="0" w:line="240" w:lineRule="auto"/>
        <w:rPr>
          <w:rFonts w:ascii="Arial" w:hAnsi="Arial" w:cs="Arial"/>
          <w:sz w:val="20"/>
          <w:szCs w:val="20"/>
        </w:rPr>
      </w:pPr>
    </w:p>
    <w:p w:rsidR="00E5133F" w:rsidRDefault="00E5133F">
      <w:pPr>
        <w:pStyle w:val="Zkladntext2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Termín na predloženie hlásenia</w:t>
      </w:r>
    </w:p>
    <w:p w:rsidR="00E5133F" w:rsidRDefault="00E5133F">
      <w:pPr>
        <w:pStyle w:val="Zkladntext2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Spravodajská jednotka je povinná predložiť hlásenie do </w:t>
      </w:r>
      <w:r>
        <w:rPr>
          <w:rFonts w:ascii="Arial" w:hAnsi="Arial" w:cs="Arial"/>
          <w:b/>
          <w:bCs/>
          <w:sz w:val="20"/>
          <w:szCs w:val="20"/>
        </w:rPr>
        <w:t>pätnásteho</w:t>
      </w:r>
      <w:r>
        <w:rPr>
          <w:rFonts w:ascii="Arial" w:hAnsi="Arial" w:cs="Arial"/>
          <w:sz w:val="20"/>
          <w:szCs w:val="20"/>
        </w:rPr>
        <w:t xml:space="preserve"> kalendárneho dňa po skončení sledovaného obdobia. Ak spravodajská jednotka predkladá čiastkové hlásenia, vyššie uvedený termín sa vzťahuje na posledné čiastkové hlásenie za sledované obdobie. </w:t>
      </w:r>
    </w:p>
    <w:p w:rsidR="00E5133F" w:rsidRPr="00B17A56" w:rsidRDefault="00E5133F">
      <w:pPr>
        <w:pStyle w:val="Zkladntext2"/>
        <w:spacing w:after="0" w:line="240" w:lineRule="auto"/>
        <w:rPr>
          <w:rFonts w:ascii="Arial" w:hAnsi="Arial" w:cs="Arial"/>
          <w:sz w:val="20"/>
          <w:szCs w:val="20"/>
        </w:rPr>
      </w:pPr>
    </w:p>
    <w:p w:rsidR="00E5133F" w:rsidRDefault="00E5133F">
      <w:pPr>
        <w:pStyle w:val="Zkladntext2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Kumulované zápisy</w:t>
      </w:r>
    </w:p>
    <w:p w:rsidR="00E5133F" w:rsidRDefault="00E5133F">
      <w:pPr>
        <w:pStyle w:val="Zkladntext2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Pokiaľ údaje, ktoré sa majú zapísať do jednotlivých odsekov, </w:t>
      </w:r>
      <w:r>
        <w:rPr>
          <w:rFonts w:ascii="Arial" w:hAnsi="Arial" w:cs="Arial"/>
          <w:b/>
          <w:bCs/>
          <w:sz w:val="20"/>
          <w:szCs w:val="20"/>
        </w:rPr>
        <w:t>s výnimkou</w:t>
      </w:r>
      <w:r>
        <w:rPr>
          <w:rFonts w:ascii="Arial" w:hAnsi="Arial" w:cs="Arial"/>
          <w:sz w:val="20"/>
          <w:szCs w:val="20"/>
        </w:rPr>
        <w:t xml:space="preserve"> odseku 8 </w:t>
      </w:r>
      <w:r>
        <w:rPr>
          <w:rFonts w:ascii="Arial" w:hAnsi="Arial" w:cs="Arial"/>
          <w:i/>
          <w:iCs/>
          <w:sz w:val="20"/>
          <w:szCs w:val="20"/>
        </w:rPr>
        <w:t>Opis tovaru</w:t>
      </w:r>
      <w:r>
        <w:rPr>
          <w:rFonts w:ascii="Arial" w:hAnsi="Arial" w:cs="Arial"/>
          <w:sz w:val="20"/>
          <w:szCs w:val="20"/>
        </w:rPr>
        <w:t xml:space="preserve">, odseku 10 </w:t>
      </w:r>
      <w:r>
        <w:rPr>
          <w:rFonts w:ascii="Arial" w:hAnsi="Arial" w:cs="Arial"/>
          <w:i/>
          <w:iCs/>
          <w:sz w:val="20"/>
          <w:szCs w:val="20"/>
        </w:rPr>
        <w:t>Fakturovaná suma,</w:t>
      </w:r>
      <w:r>
        <w:rPr>
          <w:rFonts w:ascii="Arial" w:hAnsi="Arial" w:cs="Arial"/>
          <w:sz w:val="20"/>
          <w:szCs w:val="20"/>
        </w:rPr>
        <w:t xml:space="preserve"> odseku 16 </w:t>
      </w:r>
      <w:r>
        <w:rPr>
          <w:rFonts w:ascii="Arial" w:hAnsi="Arial" w:cs="Arial"/>
          <w:i/>
          <w:iCs/>
          <w:sz w:val="20"/>
          <w:szCs w:val="20"/>
        </w:rPr>
        <w:t>Čistá hmotnosť</w:t>
      </w:r>
      <w:r>
        <w:rPr>
          <w:rFonts w:ascii="Arial" w:hAnsi="Arial" w:cs="Arial"/>
          <w:sz w:val="20"/>
          <w:szCs w:val="20"/>
        </w:rPr>
        <w:t xml:space="preserve"> a odseku 17 </w:t>
      </w:r>
      <w:r>
        <w:rPr>
          <w:rFonts w:ascii="Arial" w:hAnsi="Arial" w:cs="Arial"/>
          <w:i/>
          <w:iCs/>
          <w:sz w:val="20"/>
          <w:szCs w:val="20"/>
        </w:rPr>
        <w:t>Množstvo v dodatkových merných jednotkách</w:t>
      </w:r>
      <w:r>
        <w:rPr>
          <w:rFonts w:ascii="Arial" w:hAnsi="Arial" w:cs="Arial"/>
          <w:sz w:val="20"/>
          <w:szCs w:val="20"/>
        </w:rPr>
        <w:t xml:space="preserve"> sú totožné, údaje súvisiace s niekoľkými transakciami </w:t>
      </w:r>
      <w:r>
        <w:rPr>
          <w:rFonts w:ascii="Arial" w:hAnsi="Arial" w:cs="Arial"/>
          <w:b/>
          <w:bCs/>
          <w:sz w:val="20"/>
          <w:szCs w:val="20"/>
        </w:rPr>
        <w:t>sa môžu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sčítať do jednej položky.</w:t>
      </w:r>
    </w:p>
    <w:p w:rsidR="00E5133F" w:rsidRPr="00B17A56" w:rsidRDefault="00E5133F">
      <w:pPr>
        <w:pStyle w:val="Zkladntext2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E5133F" w:rsidRPr="00B17A56" w:rsidRDefault="00E5133F">
      <w:pPr>
        <w:pStyle w:val="Zkladntext2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E5133F" w:rsidRDefault="00E5133F">
      <w:pPr>
        <w:pStyle w:val="Zkladntext2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POZNÁMKY K JEDNOTLIVÝM ODSEKOM</w:t>
      </w:r>
    </w:p>
    <w:p w:rsidR="00E5133F" w:rsidRPr="00B17A56" w:rsidRDefault="00E5133F">
      <w:pPr>
        <w:pStyle w:val="Zkladntext2"/>
        <w:spacing w:after="0" w:line="240" w:lineRule="auto"/>
        <w:rPr>
          <w:rFonts w:ascii="Arial" w:hAnsi="Arial" w:cs="Arial"/>
          <w:sz w:val="20"/>
          <w:szCs w:val="20"/>
        </w:rPr>
      </w:pPr>
    </w:p>
    <w:p w:rsidR="00E5133F" w:rsidRDefault="00E5133F">
      <w:pPr>
        <w:pStyle w:val="Zkladntext2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Odsek 1 – Spravodajská jednotka</w:t>
      </w:r>
    </w:p>
    <w:p w:rsidR="00E5133F" w:rsidRDefault="00E5133F">
      <w:pPr>
        <w:pStyle w:val="Zkladntext2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Uvedie sa obchodné meno spravodajskej jednotky podľa §§ 8-12 Obchodného zákonníka spolu s úplnou adresou jej sídla a identifikačným číslom pre DPH. Identifikačné číslo pre DPH sa uvedie v tvare, v akom ho spravodajskej jednotke pridelil príslušný daňový úrad. </w:t>
      </w:r>
    </w:p>
    <w:p w:rsidR="00E5133F" w:rsidRDefault="00E5133F">
      <w:pPr>
        <w:pStyle w:val="Zkladntext2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 spravodajská jednotka predkladá hlásenie osobitne za každú organizačnú jednotku, uvedie sa v príslušnom pododseku číslo organizačnej jednotky, ktoré spravodajskej jednotke pridelil Štatistický úrad SR, inak sa v tomto pododseku uvedie „000“.</w:t>
      </w:r>
    </w:p>
    <w:p w:rsidR="00E5133F" w:rsidRPr="00B17A56" w:rsidRDefault="00E5133F">
      <w:pPr>
        <w:pStyle w:val="Zkladntext2"/>
        <w:spacing w:after="0" w:line="240" w:lineRule="auto"/>
        <w:rPr>
          <w:rFonts w:ascii="Arial" w:hAnsi="Arial" w:cs="Arial"/>
          <w:sz w:val="20"/>
          <w:szCs w:val="20"/>
        </w:rPr>
      </w:pPr>
    </w:p>
    <w:p w:rsidR="00E5133F" w:rsidRDefault="00E5133F">
      <w:pPr>
        <w:pStyle w:val="Zkladntext2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Odsek 2 – Zástupca</w:t>
      </w:r>
    </w:p>
    <w:p w:rsidR="00E5133F" w:rsidRDefault="00E5133F">
      <w:pPr>
        <w:pStyle w:val="Zkladntext2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Tento odsek sa musí vyplniť, ak spravodajská jednotka poverila tretiu stranu, aby predložila hlásenie. Ak je zástupcom podnikateľ, uvedie sa jeho obchodné meno spolu s úplnou adresou jeho sídla, inak sa v tomto odseku uvedie meno osoby s jej úplnou adresou. </w:t>
      </w:r>
    </w:p>
    <w:p w:rsidR="00E5133F" w:rsidRDefault="00E5133F">
      <w:pPr>
        <w:pStyle w:val="Zkladntext2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 má zástupca pridelené identifikačné číslo pre DPH uvedie sa v tvare, v akom mu ho pridelil príslušný daňový úrad, inak sa uvedie číslo, ktoré bolo zástupcovi pridelené príslušnými úradmi na štatistické alebo iné účely.</w:t>
      </w:r>
    </w:p>
    <w:p w:rsidR="00E5133F" w:rsidRDefault="00E5133F">
      <w:pPr>
        <w:pStyle w:val="Zkladntext2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Pokiaľ spravodajská jednotka takéto poverenie nedala, tento odsek sa nevypĺňa.</w:t>
      </w:r>
    </w:p>
    <w:p w:rsidR="00E5133F" w:rsidRPr="00B17A56" w:rsidRDefault="00E5133F">
      <w:pPr>
        <w:pStyle w:val="Zkladntext2"/>
        <w:spacing w:after="0" w:line="240" w:lineRule="auto"/>
        <w:rPr>
          <w:rFonts w:ascii="Arial" w:hAnsi="Arial" w:cs="Arial"/>
          <w:sz w:val="20"/>
          <w:szCs w:val="20"/>
        </w:rPr>
      </w:pPr>
    </w:p>
    <w:p w:rsidR="00E5133F" w:rsidRDefault="00E5133F">
      <w:pPr>
        <w:pStyle w:val="Zkladntext2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Odsek 3 – Obdobie</w:t>
      </w:r>
    </w:p>
    <w:p w:rsidR="00E5133F" w:rsidRDefault="00E5133F">
      <w:pPr>
        <w:pStyle w:val="Zkladntext2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 je odoslaný tovar predmetom obchodnej operácie, ktorá je dodaním tovaru z tuzemska do iného členského štátu podľa platného zákona o DPH, sledovaným obdobím je kalendárny mesiac, v ktorom vznikla daňová povinnosť podľa tohto zákona. </w:t>
      </w:r>
    </w:p>
    <w:p w:rsidR="00E5133F" w:rsidRDefault="00E5133F">
      <w:pPr>
        <w:pStyle w:val="Zkladntext2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 ostatné obchodné operácie</w:t>
      </w:r>
      <w:r w:rsidR="00F155F4">
        <w:rPr>
          <w:rFonts w:ascii="Arial" w:hAnsi="Arial" w:cs="Arial"/>
          <w:sz w:val="20"/>
          <w:szCs w:val="20"/>
        </w:rPr>
        <w:t>, ktoré nie sú dodaním z tuzemska do iného členského štátu,</w:t>
      </w:r>
      <w:r>
        <w:rPr>
          <w:rFonts w:ascii="Arial" w:hAnsi="Arial" w:cs="Arial"/>
          <w:sz w:val="20"/>
          <w:szCs w:val="20"/>
        </w:rPr>
        <w:t xml:space="preserve"> je sledovaným obdobím kalendárny mesiac, v ktorom bol tovar fyzicky odoslaný. </w:t>
      </w:r>
    </w:p>
    <w:p w:rsidR="00E5133F" w:rsidRDefault="00E5133F">
      <w:pPr>
        <w:pStyle w:val="Zkladntext2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prvého pododseku sa uvádza mesiac, použijúc dve číslice (napr. 01, 02, 03, …, 10, 11, 12), do druhého pododseku sa uvádza rok,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použijúc dve posledné číslice roka (napr. </w:t>
      </w:r>
      <w:r w:rsidR="008D5F23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 xml:space="preserve">, </w:t>
      </w:r>
      <w:r w:rsidR="008D5F23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, 1</w:t>
      </w:r>
      <w:r w:rsidR="008D5F23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).</w:t>
      </w:r>
    </w:p>
    <w:p w:rsidR="00E5133F" w:rsidRPr="00B17A56" w:rsidRDefault="00E5133F">
      <w:pPr>
        <w:pStyle w:val="Zkladntext2"/>
        <w:spacing w:after="0" w:line="240" w:lineRule="auto"/>
        <w:rPr>
          <w:rFonts w:ascii="Arial" w:hAnsi="Arial" w:cs="Arial"/>
          <w:sz w:val="20"/>
          <w:szCs w:val="20"/>
        </w:rPr>
      </w:pPr>
    </w:p>
    <w:p w:rsidR="00E5133F" w:rsidRDefault="00E5133F">
      <w:pPr>
        <w:pStyle w:val="Zkladntext2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Odsek 4 – Formuláre</w:t>
      </w:r>
    </w:p>
    <w:p w:rsidR="00E5133F" w:rsidRDefault="00E5133F">
      <w:pPr>
        <w:pStyle w:val="Zkladntext2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prvého pododseku sa uvádza poradové číslo formulára v rámci jedného hlásenia, do druhého pododseku sa uvádza celkový počet vyplnených formulárov v danom hlásení.</w:t>
      </w:r>
    </w:p>
    <w:p w:rsidR="00E5133F" w:rsidRPr="00B17A56" w:rsidRDefault="00E5133F">
      <w:pPr>
        <w:pStyle w:val="Zkladntext2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5133F" w:rsidRDefault="00E5133F">
      <w:pPr>
        <w:pStyle w:val="Zkladntext2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Odsek 5 – Celkový počet položiek</w:t>
      </w:r>
    </w:p>
    <w:p w:rsidR="00E5133F" w:rsidRDefault="00E5133F">
      <w:pPr>
        <w:pStyle w:val="Zkladntext2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Uvedie sa celkový počet položiek vyplnených v hlásení. Tento počet zodpovedá počtu vyplnených odsekov 9 </w:t>
      </w:r>
      <w:r>
        <w:rPr>
          <w:rFonts w:ascii="Arial" w:hAnsi="Arial" w:cs="Arial"/>
          <w:i/>
          <w:iCs/>
          <w:sz w:val="20"/>
          <w:szCs w:val="20"/>
        </w:rPr>
        <w:t>Kód tovaru</w:t>
      </w:r>
      <w:r w:rsidR="008D5F23">
        <w:rPr>
          <w:rFonts w:ascii="Arial" w:hAnsi="Arial" w:cs="Arial"/>
          <w:sz w:val="20"/>
          <w:szCs w:val="20"/>
        </w:rPr>
        <w:t>(jedno hlásenie môže obsahovať maximálne 9999 položiek).</w:t>
      </w:r>
    </w:p>
    <w:p w:rsidR="00E5133F" w:rsidRPr="00B17A56" w:rsidRDefault="00E5133F">
      <w:pPr>
        <w:pStyle w:val="Zkladntext2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5133F" w:rsidRDefault="00E5133F">
      <w:pPr>
        <w:pStyle w:val="Zkladntext2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Odsek 6a) – Poradové číslo hlásenia v sledovanom období</w:t>
      </w:r>
    </w:p>
    <w:p w:rsidR="005D68BF" w:rsidRDefault="00E5133F">
      <w:pPr>
        <w:pStyle w:val="Zkladntext2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tomto odseku sa uvedie poradové číslo hlásenia v sledovanom období. Poradie hlásení musí v sledovanom období nasledovať za sebou a bez prerušenia.</w:t>
      </w:r>
    </w:p>
    <w:p w:rsidR="00E5133F" w:rsidRDefault="00E5133F">
      <w:pPr>
        <w:pStyle w:val="Zkladntext2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 spravodajská jednotka predkladá hlásenie osobitne za každú organizačnú jednotku, číslovanie sa vzájomne neovplyvňuje.</w:t>
      </w:r>
    </w:p>
    <w:p w:rsidR="00E5133F" w:rsidRDefault="00E5133F">
      <w:pPr>
        <w:pStyle w:val="Zkladntext2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 sa predkladá opravné hlásenie, uvedie sa v tomto odseku poradové číslo hlásenia, na ktoré sa oprava vzťahuje.</w:t>
      </w:r>
    </w:p>
    <w:p w:rsidR="00E5133F" w:rsidRPr="00B17A56" w:rsidRDefault="00E5133F">
      <w:pPr>
        <w:pStyle w:val="Zkladntext2"/>
        <w:spacing w:after="0" w:line="240" w:lineRule="auto"/>
        <w:rPr>
          <w:rFonts w:ascii="Arial" w:hAnsi="Arial" w:cs="Arial"/>
          <w:sz w:val="20"/>
          <w:szCs w:val="20"/>
        </w:rPr>
      </w:pPr>
    </w:p>
    <w:p w:rsidR="00E5133F" w:rsidRDefault="00E5133F">
      <w:pPr>
        <w:pStyle w:val="Zkladntext2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Odsek 6b) – Poradové číslo opravného hlásenia</w:t>
      </w:r>
    </w:p>
    <w:p w:rsidR="00E5133F" w:rsidRDefault="00E5133F">
      <w:pPr>
        <w:pStyle w:val="Zkladntext2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Tento odsek sa vypĺňa iba v prípade, keď sa predkladá opravné hlásenie. Uvedie sa poradové číslo opravného hlásenia. </w:t>
      </w:r>
    </w:p>
    <w:p w:rsidR="00E5133F" w:rsidRPr="00B17A56" w:rsidRDefault="00E5133F">
      <w:pPr>
        <w:pStyle w:val="Zkladntext2"/>
        <w:spacing w:after="0" w:line="240" w:lineRule="auto"/>
        <w:rPr>
          <w:rFonts w:ascii="Arial" w:hAnsi="Arial" w:cs="Arial"/>
          <w:sz w:val="20"/>
          <w:szCs w:val="20"/>
        </w:rPr>
      </w:pPr>
    </w:p>
    <w:p w:rsidR="00E5133F" w:rsidRDefault="00E5133F">
      <w:pPr>
        <w:pStyle w:val="Zkladntext2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Odsek 7 – Poradové číslo položky</w:t>
      </w:r>
    </w:p>
    <w:p w:rsidR="00E5133F" w:rsidRDefault="00E5133F">
      <w:pPr>
        <w:pStyle w:val="Zkladntext2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Uvedie sa poradové číslo položky. </w:t>
      </w:r>
      <w:r w:rsidR="008D5F23">
        <w:rPr>
          <w:rFonts w:ascii="Arial" w:hAnsi="Arial" w:cs="Arial"/>
          <w:sz w:val="20"/>
          <w:szCs w:val="20"/>
        </w:rPr>
        <w:t>Položky sa číslujú za sebou a bez prerušenia (1,2,3...n).</w:t>
      </w:r>
      <w:r>
        <w:rPr>
          <w:rFonts w:ascii="Arial" w:hAnsi="Arial" w:cs="Arial"/>
          <w:sz w:val="20"/>
          <w:szCs w:val="20"/>
        </w:rPr>
        <w:t xml:space="preserve"> </w:t>
      </w:r>
    </w:p>
    <w:p w:rsidR="00E5133F" w:rsidRPr="00B17A56" w:rsidRDefault="00E5133F">
      <w:pPr>
        <w:pStyle w:val="Zkladntext2"/>
        <w:spacing w:after="0" w:line="240" w:lineRule="auto"/>
        <w:rPr>
          <w:rFonts w:ascii="Arial" w:hAnsi="Arial" w:cs="Arial"/>
          <w:sz w:val="20"/>
          <w:szCs w:val="20"/>
        </w:rPr>
      </w:pPr>
    </w:p>
    <w:p w:rsidR="00E5133F" w:rsidRDefault="00E5133F">
      <w:pPr>
        <w:pStyle w:val="Zkladntext2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Odsek 8 – Opis tovaru (nepovinný údaj)</w:t>
      </w:r>
    </w:p>
    <w:p w:rsidR="00E5133F" w:rsidRDefault="00E5133F">
      <w:pPr>
        <w:pStyle w:val="Zkladntext2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Uvedie sa názov tovaru, ktorý musí byť dostatočne presný, aby bolo možné tovaru priradiť osemmiestnu podpoložku kombinovanej nomenklatúry platnej v sledovanom roku.</w:t>
      </w:r>
    </w:p>
    <w:p w:rsidR="00E5133F" w:rsidRPr="00B17A56" w:rsidRDefault="00E5133F">
      <w:pPr>
        <w:pStyle w:val="Zkladntext2"/>
        <w:spacing w:after="0" w:line="240" w:lineRule="auto"/>
        <w:rPr>
          <w:rFonts w:ascii="Arial" w:hAnsi="Arial" w:cs="Arial"/>
          <w:sz w:val="20"/>
          <w:szCs w:val="20"/>
        </w:rPr>
      </w:pPr>
    </w:p>
    <w:p w:rsidR="00E5133F" w:rsidRDefault="00E5133F">
      <w:pPr>
        <w:pStyle w:val="Zkladntext2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Odsek 9 – Kód tovaru</w:t>
      </w:r>
    </w:p>
    <w:p w:rsidR="00E5133F" w:rsidRDefault="00E5133F">
      <w:pPr>
        <w:pStyle w:val="Zkladntext2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Uvedie sa osemmiestny kód príslušnej podpoložky kombinovanej nomenklatúry platnej v sledovanom roku. </w:t>
      </w:r>
    </w:p>
    <w:p w:rsidR="00E5133F" w:rsidRPr="00B17A56" w:rsidRDefault="00E5133F">
      <w:pPr>
        <w:pStyle w:val="Zkladntext2"/>
        <w:spacing w:after="0" w:line="240" w:lineRule="auto"/>
        <w:rPr>
          <w:rFonts w:ascii="Arial" w:hAnsi="Arial" w:cs="Arial"/>
          <w:sz w:val="20"/>
          <w:szCs w:val="20"/>
        </w:rPr>
      </w:pPr>
    </w:p>
    <w:p w:rsidR="00E5133F" w:rsidRDefault="00E5133F">
      <w:pPr>
        <w:pStyle w:val="Zkladntext2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Odsek 10 – Fakturovaná suma</w:t>
      </w:r>
    </w:p>
    <w:p w:rsidR="00E5133F" w:rsidRDefault="00E5133F">
      <w:pPr>
        <w:pStyle w:val="Zkladntext2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 každú položku sa uvedie fakturovaná suma zaokrúhlená na celé eurá smerom nahor. Minimálna suma, ktorú je možné uviesť na hlásení, je 1 euro. Táto suma sa rovná </w:t>
      </w:r>
      <w:r>
        <w:rPr>
          <w:rFonts w:ascii="Arial" w:hAnsi="Arial" w:cs="Arial"/>
          <w:b/>
          <w:bCs/>
          <w:sz w:val="20"/>
          <w:szCs w:val="20"/>
        </w:rPr>
        <w:t>základu dane</w:t>
      </w:r>
      <w:r>
        <w:rPr>
          <w:rFonts w:ascii="Arial" w:hAnsi="Arial" w:cs="Arial"/>
          <w:sz w:val="20"/>
          <w:szCs w:val="20"/>
        </w:rPr>
        <w:t xml:space="preserve">, ktorý sa má určiť pre daňové účely podľa platného zákona o DPH. Ak tovar podlieha daniam a iným poplatkom, čiastka týchto daní a poplatkov sa nezahŕňa do hodnoty tovaru. </w:t>
      </w:r>
    </w:p>
    <w:p w:rsidR="00E5133F" w:rsidRDefault="00E5133F">
      <w:pPr>
        <w:pStyle w:val="Zkladntext2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Keď sa základ dane nemusí vykazovať pre daňové účely, hodnota tovaru zodpovedá fakturovanej sume bez DPH, alebo v ostatných prípadoch hodnote, ktorá by sa fakturovala v prípade akéhokoľvek nákupu alebo predaja.</w:t>
      </w:r>
    </w:p>
    <w:p w:rsidR="00E5133F" w:rsidRDefault="00E5133F">
      <w:pPr>
        <w:pStyle w:val="Zkladntext2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prípade spracovania na základe zmluvy, hodnotou vykazovaného tovaru, s prihliadnutím na toto spracovanie a v nadväznosti naň, je celková suma, ktorá by bola fakturovaná v prípade akéhokoľvek </w:t>
      </w:r>
      <w:r w:rsidR="008D5F23">
        <w:rPr>
          <w:rFonts w:ascii="Arial" w:hAnsi="Arial" w:cs="Arial"/>
          <w:sz w:val="20"/>
          <w:szCs w:val="20"/>
        </w:rPr>
        <w:t>nákupu</w:t>
      </w:r>
      <w:r>
        <w:rPr>
          <w:rFonts w:ascii="Arial" w:hAnsi="Arial" w:cs="Arial"/>
          <w:sz w:val="20"/>
          <w:szCs w:val="20"/>
        </w:rPr>
        <w:t xml:space="preserve"> alebo </w:t>
      </w:r>
      <w:r w:rsidR="008D5F23">
        <w:rPr>
          <w:rFonts w:ascii="Arial" w:hAnsi="Arial" w:cs="Arial"/>
          <w:sz w:val="20"/>
          <w:szCs w:val="20"/>
        </w:rPr>
        <w:t>predaja</w:t>
      </w:r>
      <w:r>
        <w:rPr>
          <w:rFonts w:ascii="Arial" w:hAnsi="Arial" w:cs="Arial"/>
          <w:sz w:val="20"/>
          <w:szCs w:val="20"/>
        </w:rPr>
        <w:t>.</w:t>
      </w:r>
    </w:p>
    <w:p w:rsidR="00E5133F" w:rsidRDefault="00E5133F">
      <w:pPr>
        <w:pStyle w:val="Zkladntext2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 je odoslaný tovar predmetom obchodnej operácie, ktorá je dodaním tovaru z tuzemska do iného členského štátu podľa platného zákona o DPH, na prepočet fakturovanej sumy z cudzej meny na euro sa použije kurz, ktorý sa použil pre daňové účely podľa tohto zákona.</w:t>
      </w:r>
    </w:p>
    <w:p w:rsidR="00E5133F" w:rsidRDefault="00E5133F">
      <w:pPr>
        <w:pStyle w:val="Zkladntext2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 ostatné obchodné operácie</w:t>
      </w:r>
      <w:r w:rsidR="00F155F4">
        <w:rPr>
          <w:rFonts w:ascii="Arial" w:hAnsi="Arial" w:cs="Arial"/>
          <w:sz w:val="20"/>
          <w:szCs w:val="20"/>
        </w:rPr>
        <w:t>, ktoré nie sú dodaním z tuzemska do iného členského štátu,</w:t>
      </w:r>
      <w:r>
        <w:rPr>
          <w:rFonts w:ascii="Arial" w:hAnsi="Arial" w:cs="Arial"/>
          <w:sz w:val="20"/>
          <w:szCs w:val="20"/>
        </w:rPr>
        <w:t xml:space="preserve"> sa fakturovaná suma vyjadrená v cudzej mene prepočíta na euro kurzom podľa colných predpisov, platným v deň fyzického odoslania tovaru. </w:t>
      </w:r>
    </w:p>
    <w:p w:rsidR="00E5133F" w:rsidRPr="00B17A56" w:rsidRDefault="00E5133F">
      <w:pPr>
        <w:pStyle w:val="Zkladntext2"/>
        <w:spacing w:after="0" w:line="240" w:lineRule="auto"/>
        <w:rPr>
          <w:rFonts w:ascii="Arial" w:hAnsi="Arial" w:cs="Arial"/>
          <w:sz w:val="20"/>
          <w:szCs w:val="20"/>
        </w:rPr>
      </w:pPr>
    </w:p>
    <w:p w:rsidR="00E5133F" w:rsidRDefault="00E5133F">
      <w:pPr>
        <w:pStyle w:val="Zkladntext2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Odsek 11 – Členský štát určenia</w:t>
      </w:r>
    </w:p>
    <w:p w:rsidR="00E5133F" w:rsidRDefault="00E5133F">
      <w:pPr>
        <w:pStyle w:val="Zkladntext2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Uvedie sa členský štát určenia, čo je v čase odoslania </w:t>
      </w:r>
      <w:r>
        <w:rPr>
          <w:rFonts w:ascii="Arial" w:hAnsi="Arial" w:cs="Arial"/>
          <w:b/>
          <w:bCs/>
          <w:sz w:val="20"/>
          <w:szCs w:val="20"/>
        </w:rPr>
        <w:t>posledný známy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členský štát</w:t>
      </w:r>
      <w:r>
        <w:rPr>
          <w:rFonts w:ascii="Arial" w:hAnsi="Arial" w:cs="Arial"/>
          <w:sz w:val="20"/>
          <w:szCs w:val="20"/>
        </w:rPr>
        <w:t xml:space="preserve">, do ktorého má byť  tovar odoslaný. </w:t>
      </w:r>
    </w:p>
    <w:p w:rsidR="00E5133F" w:rsidRDefault="00E5133F">
      <w:pPr>
        <w:pStyle w:val="Zkladntext2"/>
        <w:spacing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Použijú sa nasledovné kódy:</w:t>
      </w:r>
    </w:p>
    <w:tbl>
      <w:tblPr>
        <w:tblW w:w="88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20"/>
        <w:gridCol w:w="1680"/>
        <w:gridCol w:w="380"/>
        <w:gridCol w:w="220"/>
        <w:gridCol w:w="1680"/>
        <w:gridCol w:w="340"/>
        <w:gridCol w:w="220"/>
        <w:gridCol w:w="1800"/>
        <w:gridCol w:w="340"/>
        <w:gridCol w:w="220"/>
        <w:gridCol w:w="1340"/>
      </w:tblGrid>
      <w:tr w:rsidR="00E5133F">
        <w:trPr>
          <w:trHeight w:hRule="exact" w:val="22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eastAsia="Arial Unicode MS" w:hAnsi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AT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eastAsia="Arial Unicode MS" w:hAnsi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–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eastAsia="Arial Unicode MS" w:hAnsi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Rakúsko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eastAsia="Arial Unicode MS" w:hAnsi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EE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eastAsia="Arial Unicode MS" w:hAnsi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–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eastAsia="Arial Unicode MS" w:hAnsi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Estónsko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eastAsia="Arial Unicode MS" w:hAnsi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IE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eastAsia="Arial Unicode MS" w:hAnsi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–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eastAsia="Arial Unicode MS" w:hAnsi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Írsko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eastAsia="Arial Unicode MS" w:hAnsi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PL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eastAsia="Arial Unicode MS" w:hAnsi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–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eastAsia="Arial Unicode MS" w:hAnsi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 xml:space="preserve">Poľsko </w:t>
            </w:r>
          </w:p>
        </w:tc>
      </w:tr>
      <w:tr w:rsidR="00E5133F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eastAsia="Arial Unicode MS" w:hAnsi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BE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eastAsia="Arial Unicode MS" w:hAnsi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eastAsia="Arial Unicode MS" w:hAnsi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Belgicko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eastAsia="Arial Unicode MS" w:hAnsi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eastAsia="Arial Unicode MS" w:hAnsi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eastAsia="Arial Unicode MS" w:hAnsi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Španielsko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eastAsia="Arial Unicode MS" w:hAnsi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eastAsia="Arial Unicode MS" w:hAnsi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eastAsia="Arial Unicode MS" w:hAnsi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Taliansko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eastAsia="Arial Unicode MS" w:hAnsi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eastAsia="Arial Unicode MS" w:hAnsi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eastAsia="Arial Unicode MS" w:hAnsi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 xml:space="preserve">Portugalsko </w:t>
            </w:r>
          </w:p>
        </w:tc>
      </w:tr>
      <w:tr w:rsidR="00E5133F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BG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Bulharsko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eastAsia="Arial Unicode MS" w:hAnsi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FI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eastAsia="Arial Unicode MS" w:hAnsi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eastAsia="Arial Unicode MS" w:hAnsi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Fínsko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eastAsia="Arial Unicode MS" w:hAnsi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eastAsia="Arial Unicode MS" w:hAnsi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eastAsia="Arial Unicode MS" w:hAnsi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Litva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Rumunsko</w:t>
            </w:r>
          </w:p>
        </w:tc>
      </w:tr>
      <w:tr w:rsidR="00E5133F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eastAsia="Arial Unicode MS" w:hAnsi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eastAsia="Arial Unicode MS" w:hAnsi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eastAsia="Arial Unicode MS" w:hAnsi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Cyprus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eastAsia="Arial Unicode MS" w:hAnsi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FR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eastAsia="Arial Unicode MS" w:hAnsi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eastAsia="Arial Unicode MS" w:hAnsi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Francúzsko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eastAsia="Arial Unicode MS" w:hAnsi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LU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eastAsia="Arial Unicode MS" w:hAnsi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eastAsia="Arial Unicode MS" w:hAnsi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 xml:space="preserve">Luxembursko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eastAsia="Arial Unicode MS" w:hAnsi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eastAsia="Arial Unicode MS" w:hAnsi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eastAsia="Arial Unicode MS" w:hAnsi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 xml:space="preserve">Švédsko </w:t>
            </w:r>
          </w:p>
        </w:tc>
      </w:tr>
      <w:tr w:rsidR="00E5133F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eastAsia="Arial Unicode MS" w:hAnsi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CZ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eastAsia="Arial Unicode MS" w:hAnsi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eastAsia="Arial Unicode MS" w:hAnsi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Česko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eastAsia="Arial Unicode MS" w:hAnsi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GB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eastAsia="Arial Unicode MS" w:hAnsi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eastAsia="Arial Unicode MS" w:hAnsi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Spojené kráľovstvo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eastAsia="Arial Unicode MS" w:hAnsi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eastAsia="Arial Unicode MS" w:hAnsi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eastAsia="Arial Unicode MS" w:hAnsi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 xml:space="preserve">Lotyšsko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eastAsia="Arial Unicode MS" w:hAnsi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eastAsia="Arial Unicode MS" w:hAnsi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eastAsia="Arial Unicode MS" w:hAnsi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Slovinsko</w:t>
            </w:r>
          </w:p>
        </w:tc>
      </w:tr>
      <w:tr w:rsidR="00E5133F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eastAsia="Arial Unicode MS" w:hAnsi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eastAsia="Arial Unicode MS" w:hAnsi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eastAsia="Arial Unicode MS" w:hAnsi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Nemecko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eastAsia="Arial Unicode MS" w:hAnsi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GR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eastAsia="Arial Unicode MS" w:hAnsi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eastAsia="Arial Unicode MS" w:hAnsi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Grécko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eastAsia="Arial Unicode MS" w:hAnsi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MT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eastAsia="Arial Unicode MS" w:hAnsi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eastAsia="Arial Unicode MS" w:hAnsi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 xml:space="preserve">Malta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E5133F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eastAsia="Arial Unicode MS" w:hAnsi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DK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eastAsia="Arial Unicode MS" w:hAnsi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eastAsia="Arial Unicode MS" w:hAnsi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Dánsko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HU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Maďarsko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eastAsia="Arial Unicode MS" w:hAnsi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NL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eastAsia="Arial Unicode MS" w:hAnsi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eastAsia="Arial Unicode MS" w:hAnsi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 xml:space="preserve">Holandsko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</w:tbl>
    <w:p w:rsidR="00B17A56" w:rsidRDefault="00B17A56">
      <w:pPr>
        <w:pStyle w:val="Zkladntext2"/>
        <w:spacing w:after="0" w:line="240" w:lineRule="auto"/>
        <w:rPr>
          <w:rFonts w:ascii="Arial" w:hAnsi="Arial" w:cs="Arial"/>
          <w:sz w:val="20"/>
          <w:szCs w:val="20"/>
        </w:rPr>
      </w:pPr>
    </w:p>
    <w:p w:rsidR="00E5133F" w:rsidRPr="00B17A56" w:rsidRDefault="00B17A56">
      <w:pPr>
        <w:pStyle w:val="Zkladntext2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5133F" w:rsidRDefault="00E5133F">
      <w:pPr>
        <w:pStyle w:val="Zkladntext2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Odsek 13 – Región pôvodu</w:t>
      </w:r>
      <w:r w:rsidR="008D5F23">
        <w:rPr>
          <w:rFonts w:ascii="Arial" w:hAnsi="Arial" w:cs="Arial"/>
          <w:b/>
          <w:bCs/>
          <w:sz w:val="20"/>
          <w:szCs w:val="20"/>
        </w:rPr>
        <w:t xml:space="preserve"> (nepovinný údaj)</w:t>
      </w:r>
    </w:p>
    <w:p w:rsidR="00E5133F" w:rsidRDefault="00E5133F">
      <w:pPr>
        <w:pStyle w:val="Zkladntext2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Uvedie sa slovenský región, v ktorom bol tovar vyrobený, získaný alebo zostavený, spracovaný, opravený alebo kde podstúpil údržbu. Ak región pôvodu nie je známy, môže byť nahradený regiónom, v ktorom sa uskutočnila obchodná operácia alebo regiónom, z ktorého bol tovar odoslaný. </w:t>
      </w:r>
    </w:p>
    <w:p w:rsidR="00E5133F" w:rsidRDefault="00E5133F">
      <w:pPr>
        <w:pStyle w:val="Zkladntext2"/>
        <w:spacing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Použijú sa nasledovné kódy:</w:t>
      </w:r>
    </w:p>
    <w:tbl>
      <w:tblPr>
        <w:tblW w:w="8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"/>
        <w:gridCol w:w="237"/>
        <w:gridCol w:w="3135"/>
        <w:gridCol w:w="237"/>
        <w:gridCol w:w="237"/>
        <w:gridCol w:w="2721"/>
        <w:gridCol w:w="237"/>
        <w:gridCol w:w="237"/>
        <w:gridCol w:w="1559"/>
      </w:tblGrid>
      <w:tr w:rsidR="00E5133F">
        <w:trPr>
          <w:trHeight w:val="227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eastAsia="Arial Unicode MS" w:hAnsi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eastAsia="Arial Unicode MS" w:hAnsi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–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eastAsia="Arial Unicode MS" w:hAnsi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Bratislavský kraj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eastAsia="Arial Unicode MS" w:hAnsi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eastAsia="Arial Unicode MS" w:hAnsi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–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eastAsia="Arial Unicode MS" w:hAnsi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 xml:space="preserve">Nitriansky kraj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eastAsia="Arial Unicode MS" w:hAnsi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eastAsia="Arial Unicode MS" w:hAnsi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–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eastAsia="Arial Unicode MS" w:hAnsi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Prešovský kraj</w:t>
            </w:r>
          </w:p>
        </w:tc>
      </w:tr>
      <w:tr w:rsidR="00E5133F">
        <w:trPr>
          <w:trHeight w:val="227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eastAsia="Arial Unicode MS" w:hAnsi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eastAsia="Arial Unicode MS" w:hAnsi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–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eastAsia="Arial Unicode MS" w:hAnsi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Trnavský kraj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eastAsia="Arial Unicode MS" w:hAnsi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eastAsia="Arial Unicode MS" w:hAnsi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–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eastAsia="Arial Unicode MS" w:hAnsi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Žilinský kraj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eastAsia="Arial Unicode MS" w:hAnsi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eastAsia="Arial Unicode MS" w:hAnsi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–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eastAsia="Arial Unicode MS" w:hAnsi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Košický kraj</w:t>
            </w:r>
          </w:p>
        </w:tc>
      </w:tr>
      <w:tr w:rsidR="00E5133F">
        <w:trPr>
          <w:trHeight w:val="227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eastAsia="Arial Unicode MS" w:hAnsi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eastAsia="Arial Unicode MS" w:hAnsi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–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eastAsia="Arial Unicode MS" w:hAnsi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Trenčiansky kraj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eastAsia="Arial Unicode MS" w:hAnsi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eastAsia="Arial Unicode MS" w:hAnsi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–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jc w:val="both"/>
              <w:rPr>
                <w:rFonts w:ascii="Arial" w:eastAsia="Arial Unicode MS" w:hAnsi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Banskobystrický kraj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rPr>
                <w:rFonts w:ascii="Arial" w:eastAsia="Arial Unicode MS" w:hAnsi="Arial"/>
                <w:sz w:val="20"/>
                <w:szCs w:val="20"/>
                <w:lang w:val="sk-SK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rPr>
                <w:rFonts w:ascii="Arial" w:eastAsia="Arial Unicode MS" w:hAnsi="Arial"/>
                <w:sz w:val="20"/>
                <w:szCs w:val="20"/>
                <w:lang w:val="sk-SK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33F" w:rsidRDefault="00E5133F">
            <w:pPr>
              <w:rPr>
                <w:rFonts w:ascii="Arial" w:eastAsia="Arial Unicode MS" w:hAnsi="Arial"/>
                <w:sz w:val="20"/>
                <w:szCs w:val="20"/>
                <w:lang w:val="sk-SK"/>
              </w:rPr>
            </w:pPr>
          </w:p>
        </w:tc>
      </w:tr>
    </w:tbl>
    <w:p w:rsidR="00DE0278" w:rsidRPr="00B17A56" w:rsidRDefault="00DE0278">
      <w:pPr>
        <w:pStyle w:val="Zkladntext2"/>
        <w:spacing w:after="0" w:line="240" w:lineRule="auto"/>
        <w:rPr>
          <w:rFonts w:ascii="Arial" w:hAnsi="Arial" w:cs="Arial"/>
          <w:sz w:val="20"/>
          <w:szCs w:val="20"/>
        </w:rPr>
      </w:pPr>
    </w:p>
    <w:p w:rsidR="00E5133F" w:rsidRDefault="00E5133F">
      <w:pPr>
        <w:pStyle w:val="Zkladntext2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Odsek 16 – Čistá hmotnosť</w:t>
      </w:r>
    </w:p>
    <w:p w:rsidR="00E5133F" w:rsidRDefault="00E5133F">
      <w:pPr>
        <w:pStyle w:val="Zkladntext2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 každú položku sa uvedie skutočná hmotnosť tovaru bez všetkých obalov. Vyjadruje sa v celých kilogramoch s prípadným zaokrúhlením smerom nahor pri hmotnosti menšej ako 1 kg. Pri hmotnosti väčšej ako 1 kg sa desatinné miesta pod 0,5 zaokrúhľujú nadol a desatinné miesta od 0,5 vrátane nahor.</w:t>
      </w:r>
    </w:p>
    <w:p w:rsidR="00E5133F" w:rsidRPr="00B17A56" w:rsidRDefault="00E5133F">
      <w:pPr>
        <w:pStyle w:val="Zkladntext2"/>
        <w:spacing w:after="0" w:line="240" w:lineRule="auto"/>
        <w:rPr>
          <w:rFonts w:ascii="Arial" w:hAnsi="Arial" w:cs="Arial"/>
          <w:sz w:val="20"/>
          <w:szCs w:val="20"/>
        </w:rPr>
      </w:pPr>
    </w:p>
    <w:p w:rsidR="00E5133F" w:rsidRDefault="00E5133F">
      <w:pPr>
        <w:pStyle w:val="Zkladntext2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Odsek 17 – Množstvo v dodatkových merných jednotkách</w:t>
      </w:r>
    </w:p>
    <w:p w:rsidR="00E5133F" w:rsidRDefault="008D5F23">
      <w:pPr>
        <w:pStyle w:val="Zkladntext2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Množstvo prijatého alebo odoslaného tovaru v</w:t>
      </w:r>
      <w:r w:rsidR="006C422E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dodatkových</w:t>
      </w:r>
      <w:r w:rsidR="006C422E">
        <w:rPr>
          <w:rFonts w:ascii="Arial" w:hAnsi="Arial" w:cs="Arial"/>
          <w:sz w:val="20"/>
          <w:szCs w:val="20"/>
        </w:rPr>
        <w:t xml:space="preserve"> merných jednotkách sa vykazuje len pri tých </w:t>
      </w:r>
      <w:r w:rsidR="00E5133F">
        <w:rPr>
          <w:rFonts w:ascii="Arial" w:hAnsi="Arial" w:cs="Arial"/>
          <w:sz w:val="20"/>
          <w:szCs w:val="20"/>
        </w:rPr>
        <w:t xml:space="preserve"> </w:t>
      </w:r>
      <w:r w:rsidR="006C422E">
        <w:rPr>
          <w:rFonts w:ascii="Arial" w:hAnsi="Arial" w:cs="Arial"/>
          <w:sz w:val="20"/>
          <w:szCs w:val="20"/>
        </w:rPr>
        <w:t>pod</w:t>
      </w:r>
      <w:r w:rsidR="00E5133F">
        <w:rPr>
          <w:rFonts w:ascii="Arial" w:hAnsi="Arial" w:cs="Arial"/>
          <w:sz w:val="20"/>
          <w:szCs w:val="20"/>
        </w:rPr>
        <w:t>položk</w:t>
      </w:r>
      <w:r w:rsidR="006C422E">
        <w:rPr>
          <w:rFonts w:ascii="Arial" w:hAnsi="Arial" w:cs="Arial"/>
          <w:sz w:val="20"/>
          <w:szCs w:val="20"/>
        </w:rPr>
        <w:t>ách</w:t>
      </w:r>
      <w:r w:rsidR="00E5133F">
        <w:rPr>
          <w:rFonts w:ascii="Arial" w:hAnsi="Arial" w:cs="Arial"/>
          <w:sz w:val="20"/>
          <w:szCs w:val="20"/>
        </w:rPr>
        <w:t xml:space="preserve">  uvedených    v odseku 9 </w:t>
      </w:r>
      <w:r w:rsidR="00E5133F">
        <w:rPr>
          <w:rFonts w:ascii="Arial" w:hAnsi="Arial" w:cs="Arial"/>
          <w:i/>
          <w:iCs/>
          <w:sz w:val="20"/>
          <w:szCs w:val="20"/>
        </w:rPr>
        <w:t>Kód tovaru</w:t>
      </w:r>
      <w:r w:rsidR="006C422E">
        <w:rPr>
          <w:rFonts w:ascii="Arial" w:hAnsi="Arial" w:cs="Arial"/>
          <w:sz w:val="20"/>
          <w:szCs w:val="20"/>
        </w:rPr>
        <w:t>, ktoré majú pri kóde kombinovanej nome</w:t>
      </w:r>
      <w:r w:rsidR="00414A08">
        <w:rPr>
          <w:rFonts w:ascii="Arial" w:hAnsi="Arial" w:cs="Arial"/>
          <w:sz w:val="20"/>
          <w:szCs w:val="20"/>
        </w:rPr>
        <w:t>n</w:t>
      </w:r>
      <w:r w:rsidR="006C422E">
        <w:rPr>
          <w:rFonts w:ascii="Arial" w:hAnsi="Arial" w:cs="Arial"/>
          <w:sz w:val="20"/>
          <w:szCs w:val="20"/>
        </w:rPr>
        <w:t>klatúry priradenú mernú jednotku.</w:t>
      </w:r>
      <w:r w:rsidR="00E5133F">
        <w:rPr>
          <w:rFonts w:ascii="Arial" w:hAnsi="Arial" w:cs="Arial"/>
          <w:sz w:val="20"/>
          <w:szCs w:val="20"/>
        </w:rPr>
        <w:t xml:space="preserve"> Údaj sa uvedie v celých merných jednotkách s prípadným zaokrúhlením nahor.</w:t>
      </w:r>
    </w:p>
    <w:p w:rsidR="00E5133F" w:rsidRDefault="00E5133F">
      <w:pPr>
        <w:pStyle w:val="Zkladntext2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 pre podpoložku kombinovanej nomenklatúry, ktorej kód je uvedený v odseku 9 </w:t>
      </w:r>
      <w:r>
        <w:rPr>
          <w:rFonts w:ascii="Arial" w:hAnsi="Arial" w:cs="Arial"/>
          <w:i/>
          <w:iCs/>
          <w:sz w:val="20"/>
          <w:szCs w:val="20"/>
        </w:rPr>
        <w:t>Kód tovaru,</w:t>
      </w:r>
      <w:r>
        <w:rPr>
          <w:rFonts w:ascii="Arial" w:hAnsi="Arial" w:cs="Arial"/>
          <w:sz w:val="20"/>
          <w:szCs w:val="20"/>
        </w:rPr>
        <w:t xml:space="preserve"> nie je dodatková merná jednotka špecifikovaná, uvedie sa „0”.</w:t>
      </w:r>
    </w:p>
    <w:p w:rsidR="00E5133F" w:rsidRPr="00B17A56" w:rsidRDefault="00E5133F">
      <w:pPr>
        <w:pStyle w:val="Zkladntext2"/>
        <w:spacing w:after="0" w:line="240" w:lineRule="auto"/>
        <w:rPr>
          <w:rFonts w:ascii="Arial" w:hAnsi="Arial" w:cs="Arial"/>
          <w:sz w:val="20"/>
          <w:szCs w:val="20"/>
        </w:rPr>
      </w:pPr>
    </w:p>
    <w:p w:rsidR="00E5133F" w:rsidRDefault="00E5133F">
      <w:pPr>
        <w:pStyle w:val="Zkladntext2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Odsek 18 – Druh obchodu</w:t>
      </w:r>
    </w:p>
    <w:p w:rsidR="00E5133F" w:rsidRDefault="00E5133F">
      <w:pPr>
        <w:pStyle w:val="Zkladntext2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Uvedie sa druh obchodu, čo sú všetky charakteristiky, ktoré odlišujú jednu operáciu od druhej, bez ohľadu na to, či ide o operácie obchodné alebo iné, ktoré vedú k odoslaniu tovaru. </w:t>
      </w:r>
    </w:p>
    <w:p w:rsidR="00E5133F" w:rsidRDefault="00E5133F">
      <w:pPr>
        <w:pStyle w:val="Zkladntext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prvého pododseku sa uvedie kód zo stĺpca A tabuľky a do druhého pododseku sa uvedie kód zo stĺpca B tabuľky. </w:t>
      </w:r>
    </w:p>
    <w:p w:rsidR="00E5133F" w:rsidRPr="00052710" w:rsidRDefault="00E5133F">
      <w:pPr>
        <w:pStyle w:val="Zkladntext2"/>
        <w:spacing w:after="0" w:line="240" w:lineRule="auto"/>
        <w:rPr>
          <w:rFonts w:ascii="Arial" w:hAnsi="Arial" w:cs="Arial"/>
          <w:sz w:val="20"/>
          <w:szCs w:val="20"/>
          <w:lang w:val="cs-CZ"/>
        </w:rPr>
      </w:pPr>
    </w:p>
    <w:tbl>
      <w:tblPr>
        <w:tblW w:w="900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4860"/>
      </w:tblGrid>
      <w:tr w:rsidR="00E5133F">
        <w:tc>
          <w:tcPr>
            <w:tcW w:w="4140" w:type="dxa"/>
          </w:tcPr>
          <w:p w:rsidR="00E5133F" w:rsidRDefault="00E5133F">
            <w:pPr>
              <w:pStyle w:val="Nadpis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Stĺpec A</w:t>
            </w:r>
          </w:p>
        </w:tc>
        <w:tc>
          <w:tcPr>
            <w:tcW w:w="4860" w:type="dxa"/>
          </w:tcPr>
          <w:p w:rsidR="00E5133F" w:rsidRDefault="00E5133F">
            <w:pPr>
              <w:pStyle w:val="Nadpis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Stĺpec B</w:t>
            </w:r>
          </w:p>
        </w:tc>
      </w:tr>
      <w:tr w:rsidR="00E5133F">
        <w:tc>
          <w:tcPr>
            <w:tcW w:w="4140" w:type="dxa"/>
          </w:tcPr>
          <w:p w:rsidR="00E5133F" w:rsidRDefault="00E5133F">
            <w:pPr>
              <w:ind w:left="252" w:hanging="252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1.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sk-SK"/>
              </w:rPr>
              <w:t>Transakcie so skutočným alebo plánovaným prevodom vlastníctva z rezidentov na nerezidentov za finančnú alebo inú náhradu (okrem transakcií uvedených v bodoch 2, 7, 8)</w:t>
            </w:r>
          </w:p>
        </w:tc>
        <w:tc>
          <w:tcPr>
            <w:tcW w:w="4860" w:type="dxa"/>
          </w:tcPr>
          <w:p w:rsidR="00E5133F" w:rsidRDefault="00E5133F">
            <w:pPr>
              <w:ind w:left="430" w:hanging="425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val="sk-SK"/>
              </w:rPr>
              <w:tab/>
              <w:t>Priama kúpa/predaj</w:t>
            </w:r>
          </w:p>
          <w:p w:rsidR="00E5133F" w:rsidRDefault="00E5133F">
            <w:pPr>
              <w:ind w:left="430" w:hanging="425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2.</w:t>
            </w:r>
            <w:r>
              <w:rPr>
                <w:rFonts w:ascii="Arial" w:hAnsi="Arial" w:cs="Arial"/>
                <w:sz w:val="18"/>
                <w:szCs w:val="18"/>
                <w:lang w:val="sk-SK"/>
              </w:rPr>
              <w:tab/>
              <w:t xml:space="preserve">Dodávka </w:t>
            </w:r>
            <w:r w:rsidR="0057351C">
              <w:rPr>
                <w:rFonts w:ascii="Arial" w:hAnsi="Arial" w:cs="Arial"/>
                <w:sz w:val="18"/>
                <w:szCs w:val="18"/>
                <w:lang w:val="sk-SK"/>
              </w:rPr>
              <w:t xml:space="preserve">tovaru na skúšku, na ukážku, na komisionálny </w:t>
            </w:r>
            <w:r>
              <w:rPr>
                <w:rFonts w:ascii="Arial" w:hAnsi="Arial" w:cs="Arial"/>
                <w:sz w:val="18"/>
                <w:szCs w:val="18"/>
                <w:lang w:val="sk-SK"/>
              </w:rPr>
              <w:t xml:space="preserve"> predaj</w:t>
            </w:r>
            <w:r w:rsidR="0057351C">
              <w:rPr>
                <w:rFonts w:ascii="Arial" w:hAnsi="Arial" w:cs="Arial"/>
                <w:sz w:val="18"/>
                <w:szCs w:val="18"/>
                <w:lang w:val="sk-SK"/>
              </w:rPr>
              <w:t xml:space="preserve"> alebo na akýkoľvek predaj </w:t>
            </w:r>
            <w:r>
              <w:rPr>
                <w:rFonts w:ascii="Arial" w:hAnsi="Arial" w:cs="Arial"/>
                <w:sz w:val="18"/>
                <w:szCs w:val="18"/>
                <w:lang w:val="sk-SK"/>
              </w:rPr>
              <w:t xml:space="preserve">  za províziu</w:t>
            </w:r>
          </w:p>
          <w:p w:rsidR="00E5133F" w:rsidRDefault="00E5133F">
            <w:pPr>
              <w:ind w:left="430" w:hanging="425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3.</w:t>
            </w:r>
            <w:r>
              <w:rPr>
                <w:rFonts w:ascii="Arial" w:hAnsi="Arial" w:cs="Arial"/>
                <w:sz w:val="18"/>
                <w:szCs w:val="18"/>
                <w:lang w:val="sk-SK"/>
              </w:rPr>
              <w:tab/>
              <w:t>Barterový obchod (náhrada v naturáliách)</w:t>
            </w:r>
          </w:p>
          <w:p w:rsidR="00E5133F" w:rsidRDefault="00E5133F">
            <w:pPr>
              <w:ind w:left="430" w:hanging="425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4.</w:t>
            </w:r>
            <w:r>
              <w:rPr>
                <w:rFonts w:ascii="Arial" w:hAnsi="Arial" w:cs="Arial"/>
                <w:sz w:val="18"/>
                <w:szCs w:val="18"/>
                <w:lang w:val="sk-SK"/>
              </w:rPr>
              <w:tab/>
              <w:t>Finančný lízing (splátkový obchod)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sk-SK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</w:p>
          <w:p w:rsidR="00E5133F" w:rsidRDefault="00E5133F">
            <w:pPr>
              <w:ind w:left="430" w:hanging="425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9.</w:t>
            </w:r>
            <w:r>
              <w:rPr>
                <w:rFonts w:ascii="Arial" w:hAnsi="Arial" w:cs="Arial"/>
                <w:sz w:val="18"/>
                <w:szCs w:val="18"/>
                <w:lang w:val="sk-SK"/>
              </w:rPr>
              <w:tab/>
              <w:t>Iné</w:t>
            </w:r>
          </w:p>
        </w:tc>
      </w:tr>
      <w:tr w:rsidR="00E5133F">
        <w:tc>
          <w:tcPr>
            <w:tcW w:w="4140" w:type="dxa"/>
          </w:tcPr>
          <w:p w:rsidR="00E5133F" w:rsidRDefault="00E5133F">
            <w:pPr>
              <w:ind w:left="252" w:hanging="252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2.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ab/>
            </w:r>
            <w:r w:rsidR="006C422E">
              <w:rPr>
                <w:rFonts w:ascii="Arial" w:hAnsi="Arial" w:cs="Arial"/>
                <w:sz w:val="18"/>
                <w:szCs w:val="18"/>
                <w:lang w:val="sk-SK"/>
              </w:rPr>
              <w:t>V</w:t>
            </w:r>
            <w:r>
              <w:rPr>
                <w:rFonts w:ascii="Arial" w:hAnsi="Arial" w:cs="Arial"/>
                <w:sz w:val="18"/>
                <w:szCs w:val="18"/>
                <w:lang w:val="sk-SK"/>
              </w:rPr>
              <w:t>rátenie a</w:t>
            </w:r>
            <w:r w:rsidR="006C422E">
              <w:rPr>
                <w:rFonts w:ascii="Arial" w:hAnsi="Arial" w:cs="Arial"/>
                <w:sz w:val="18"/>
                <w:szCs w:val="18"/>
                <w:lang w:val="sk-SK"/>
              </w:rPr>
              <w:t xml:space="preserve"> bezplatná </w:t>
            </w:r>
            <w:r>
              <w:rPr>
                <w:rFonts w:ascii="Arial" w:hAnsi="Arial" w:cs="Arial"/>
                <w:sz w:val="18"/>
                <w:szCs w:val="18"/>
                <w:lang w:val="sk-SK"/>
              </w:rPr>
              <w:t>náhrada tovaru po registrácii pôvodnej transakcie</w:t>
            </w:r>
          </w:p>
        </w:tc>
        <w:tc>
          <w:tcPr>
            <w:tcW w:w="4860" w:type="dxa"/>
          </w:tcPr>
          <w:p w:rsidR="00E5133F" w:rsidRDefault="00E5133F">
            <w:pPr>
              <w:ind w:left="430" w:hanging="425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val="sk-SK"/>
              </w:rPr>
              <w:tab/>
              <w:t>Vrátenie tovaru</w:t>
            </w:r>
          </w:p>
          <w:p w:rsidR="00E5133F" w:rsidRDefault="00E5133F">
            <w:pPr>
              <w:ind w:left="430" w:hanging="425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2.</w:t>
            </w:r>
            <w:r>
              <w:rPr>
                <w:rFonts w:ascii="Arial" w:hAnsi="Arial" w:cs="Arial"/>
                <w:sz w:val="18"/>
                <w:szCs w:val="18"/>
                <w:lang w:val="sk-SK"/>
              </w:rPr>
              <w:tab/>
              <w:t>Náhrada za vrátený tovar</w:t>
            </w:r>
          </w:p>
          <w:p w:rsidR="00E5133F" w:rsidRDefault="00E5133F">
            <w:pPr>
              <w:ind w:left="430" w:hanging="425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3.</w:t>
            </w:r>
            <w:r>
              <w:rPr>
                <w:rFonts w:ascii="Arial" w:hAnsi="Arial" w:cs="Arial"/>
                <w:sz w:val="18"/>
                <w:szCs w:val="18"/>
                <w:lang w:val="sk-SK"/>
              </w:rPr>
              <w:tab/>
              <w:t>Náhrada (napr. v záručnej lehote) za tovar, ktorý sa nevrátil</w:t>
            </w:r>
          </w:p>
          <w:p w:rsidR="00E5133F" w:rsidRDefault="00E5133F">
            <w:pPr>
              <w:ind w:left="430" w:hanging="425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9.</w:t>
            </w:r>
            <w:r>
              <w:rPr>
                <w:rFonts w:ascii="Arial" w:hAnsi="Arial" w:cs="Arial"/>
                <w:sz w:val="18"/>
                <w:szCs w:val="18"/>
                <w:lang w:val="sk-SK"/>
              </w:rPr>
              <w:tab/>
              <w:t>Iné</w:t>
            </w:r>
          </w:p>
        </w:tc>
      </w:tr>
      <w:tr w:rsidR="00E5133F">
        <w:tc>
          <w:tcPr>
            <w:tcW w:w="4140" w:type="dxa"/>
          </w:tcPr>
          <w:p w:rsidR="00E5133F" w:rsidRDefault="00E5133F">
            <w:pPr>
              <w:ind w:left="252" w:hanging="252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3.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sk-SK"/>
              </w:rPr>
              <w:t>Transakcie zahŕňajúce prevod vlastníctva bez finančnej alebo vecnej náhrady (napr. dodávky pomoci)</w:t>
            </w:r>
          </w:p>
        </w:tc>
        <w:tc>
          <w:tcPr>
            <w:tcW w:w="4860" w:type="dxa"/>
          </w:tcPr>
          <w:p w:rsidR="00E5133F" w:rsidRDefault="00E5133F">
            <w:pPr>
              <w:tabs>
                <w:tab w:val="num" w:pos="432"/>
              </w:tabs>
              <w:ind w:left="432" w:hanging="432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</w:tr>
      <w:tr w:rsidR="00E5133F">
        <w:tc>
          <w:tcPr>
            <w:tcW w:w="4140" w:type="dxa"/>
          </w:tcPr>
          <w:p w:rsidR="00E5133F" w:rsidRDefault="00E5133F">
            <w:pPr>
              <w:ind w:left="252" w:hanging="252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4.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sk-SK"/>
              </w:rPr>
              <w:t>Operácie s cieľom spracovania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sk-SK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sk-SK"/>
              </w:rPr>
              <w:t xml:space="preserve"> na základe zmluvy (bez prevodu vlastníctva na spracovateľa)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 xml:space="preserve"> </w:t>
            </w:r>
          </w:p>
          <w:p w:rsidR="00E5133F" w:rsidRDefault="00E5133F">
            <w:pPr>
              <w:ind w:left="252" w:hanging="252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4860" w:type="dxa"/>
          </w:tcPr>
          <w:p w:rsidR="00E5133F" w:rsidRDefault="00E5133F">
            <w:pPr>
              <w:tabs>
                <w:tab w:val="num" w:pos="432"/>
              </w:tabs>
              <w:ind w:left="432" w:hanging="432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1.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sk-SK"/>
              </w:rPr>
              <w:t>Tovar, ktorý sa má vrátiť do pôvodného členského štátu odoslania</w:t>
            </w:r>
          </w:p>
          <w:p w:rsidR="00E5133F" w:rsidRDefault="00E5133F">
            <w:pPr>
              <w:tabs>
                <w:tab w:val="num" w:pos="432"/>
              </w:tabs>
              <w:ind w:left="432" w:hanging="432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2.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sk-SK"/>
              </w:rPr>
              <w:t>Tovar, ktorý sa nemá vrátiť do pôvodného členského štátu odoslania</w:t>
            </w:r>
          </w:p>
        </w:tc>
      </w:tr>
      <w:tr w:rsidR="00E5133F">
        <w:tc>
          <w:tcPr>
            <w:tcW w:w="4140" w:type="dxa"/>
          </w:tcPr>
          <w:p w:rsidR="00E5133F" w:rsidRDefault="00E5133F">
            <w:pPr>
              <w:ind w:left="252" w:hanging="252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5.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sk-SK"/>
              </w:rPr>
              <w:t>Operácie po spracovaní na základe zmluvy (bez prevodu vlastníctva na spracovateľa)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4860" w:type="dxa"/>
          </w:tcPr>
          <w:p w:rsidR="00E5133F" w:rsidRDefault="00E5133F">
            <w:pPr>
              <w:tabs>
                <w:tab w:val="num" w:pos="432"/>
              </w:tabs>
              <w:ind w:left="432" w:hanging="432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1.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sk-SK"/>
              </w:rPr>
              <w:t>Tovar, ktorý sa vracia do pôvodného členského štátu odoslania</w:t>
            </w:r>
          </w:p>
          <w:p w:rsidR="00E5133F" w:rsidRDefault="00E5133F">
            <w:pPr>
              <w:tabs>
                <w:tab w:val="num" w:pos="432"/>
              </w:tabs>
              <w:ind w:left="432" w:hanging="432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2.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sk-SK"/>
              </w:rPr>
              <w:t>Tovar, ktorý sa nevracia do pôvodného členského štátu odoslania</w:t>
            </w:r>
          </w:p>
        </w:tc>
      </w:tr>
      <w:tr w:rsidR="00E5133F">
        <w:trPr>
          <w:trHeight w:val="20"/>
        </w:trPr>
        <w:tc>
          <w:tcPr>
            <w:tcW w:w="4140" w:type="dxa"/>
          </w:tcPr>
          <w:p w:rsidR="00E5133F" w:rsidRDefault="00E5133F" w:rsidP="00414A08">
            <w:pPr>
              <w:ind w:left="252" w:hanging="252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6.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ab/>
            </w:r>
            <w:r w:rsidR="006C422E">
              <w:rPr>
                <w:rFonts w:ascii="Arial" w:hAnsi="Arial" w:cs="Arial"/>
                <w:sz w:val="18"/>
                <w:szCs w:val="18"/>
                <w:lang w:val="sk-SK"/>
              </w:rPr>
              <w:t xml:space="preserve">Určité transakcie zaznamenávané na vnútroštátne </w:t>
            </w:r>
            <w:r w:rsidR="00414A08">
              <w:rPr>
                <w:rFonts w:ascii="Arial" w:hAnsi="Arial" w:cs="Arial"/>
                <w:sz w:val="18"/>
                <w:szCs w:val="18"/>
                <w:lang w:val="sk-SK"/>
              </w:rPr>
              <w:t>ú</w:t>
            </w:r>
            <w:r w:rsidR="006C422E">
              <w:rPr>
                <w:rFonts w:ascii="Arial" w:hAnsi="Arial" w:cs="Arial"/>
                <w:sz w:val="18"/>
                <w:szCs w:val="18"/>
                <w:lang w:val="sk-SK"/>
              </w:rPr>
              <w:t>čely</w:t>
            </w:r>
          </w:p>
        </w:tc>
        <w:tc>
          <w:tcPr>
            <w:tcW w:w="4860" w:type="dxa"/>
          </w:tcPr>
          <w:p w:rsidR="00E5133F" w:rsidRDefault="00E5133F">
            <w:pPr>
              <w:tabs>
                <w:tab w:val="num" w:pos="432"/>
              </w:tabs>
              <w:ind w:left="432" w:hanging="432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1.      Tovar prijatý na dočasné použitie na obdobie nie dlhšie ako 24 mesiacov a tovar odoslaný na užívanie na obdobie nie dlhšie ako 24 mesiacov</w:t>
            </w:r>
          </w:p>
          <w:p w:rsidR="00E5133F" w:rsidRDefault="00E5133F">
            <w:pPr>
              <w:tabs>
                <w:tab w:val="num" w:pos="432"/>
              </w:tabs>
              <w:ind w:left="432" w:hanging="432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2.      Oprava a údržba za úhradu</w:t>
            </w:r>
          </w:p>
          <w:p w:rsidR="00E5133F" w:rsidRDefault="00E5133F">
            <w:pPr>
              <w:tabs>
                <w:tab w:val="num" w:pos="432"/>
              </w:tabs>
              <w:ind w:left="432" w:hanging="432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</w:tr>
      <w:tr w:rsidR="00E5133F">
        <w:trPr>
          <w:trHeight w:val="700"/>
        </w:trPr>
        <w:tc>
          <w:tcPr>
            <w:tcW w:w="4140" w:type="dxa"/>
          </w:tcPr>
          <w:p w:rsidR="00E5133F" w:rsidRDefault="00E5133F">
            <w:pPr>
              <w:ind w:left="252" w:hanging="252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7.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sk-SK"/>
              </w:rPr>
              <w:t>Operácie v rámci projektov spoločnej obrany alebo iných spoločných medzivládnych výrobných programov</w:t>
            </w:r>
          </w:p>
        </w:tc>
        <w:tc>
          <w:tcPr>
            <w:tcW w:w="4860" w:type="dxa"/>
          </w:tcPr>
          <w:p w:rsidR="00E5133F" w:rsidRDefault="00E5133F">
            <w:pPr>
              <w:tabs>
                <w:tab w:val="num" w:pos="432"/>
              </w:tabs>
              <w:ind w:left="432" w:hanging="432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</w:tr>
    </w:tbl>
    <w:p w:rsidR="00E5133F" w:rsidRPr="00953EA4" w:rsidRDefault="00E5133F">
      <w:pPr>
        <w:rPr>
          <w:lang w:val="sk-SK"/>
        </w:rPr>
      </w:pPr>
    </w:p>
    <w:tbl>
      <w:tblPr>
        <w:tblW w:w="900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4860"/>
      </w:tblGrid>
      <w:tr w:rsidR="00E5133F">
        <w:trPr>
          <w:trHeight w:val="167"/>
        </w:trPr>
        <w:tc>
          <w:tcPr>
            <w:tcW w:w="4140" w:type="dxa"/>
          </w:tcPr>
          <w:p w:rsidR="00E5133F" w:rsidRPr="00953EA4" w:rsidRDefault="00E5133F">
            <w:pPr>
              <w:pStyle w:val="Nadpis2"/>
              <w:rPr>
                <w:lang w:val="sk-SK"/>
              </w:rPr>
            </w:pPr>
            <w:r w:rsidRPr="00953EA4">
              <w:rPr>
                <w:lang w:val="sk-SK"/>
              </w:rPr>
              <w:lastRenderedPageBreak/>
              <w:t>Stĺpec</w:t>
            </w:r>
            <w:r>
              <w:t xml:space="preserve"> A</w:t>
            </w:r>
          </w:p>
        </w:tc>
        <w:tc>
          <w:tcPr>
            <w:tcW w:w="4860" w:type="dxa"/>
          </w:tcPr>
          <w:p w:rsidR="00E5133F" w:rsidRDefault="00E5133F">
            <w:pPr>
              <w:pStyle w:val="Nadpis4"/>
              <w:rPr>
                <w:lang w:val="sk-SK"/>
              </w:rPr>
            </w:pPr>
            <w:r w:rsidRPr="00953EA4">
              <w:rPr>
                <w:lang w:val="sk-SK"/>
              </w:rPr>
              <w:t>Stĺpec</w:t>
            </w:r>
            <w:r>
              <w:t xml:space="preserve"> B</w:t>
            </w:r>
          </w:p>
        </w:tc>
      </w:tr>
      <w:tr w:rsidR="00B17A56">
        <w:trPr>
          <w:trHeight w:val="1257"/>
        </w:trPr>
        <w:tc>
          <w:tcPr>
            <w:tcW w:w="4140" w:type="dxa"/>
          </w:tcPr>
          <w:p w:rsidR="00B17A56" w:rsidRDefault="00B17A56" w:rsidP="001C6347">
            <w:pPr>
              <w:ind w:left="252" w:hanging="252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8.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sk-SK"/>
              </w:rPr>
              <w:t>Transakcie zahŕňajúce dodávku stavebného materiálu a technického vybavenia pre stavebné a inžinierske práce v rámci všeobecnej zmluvy, v prípade ktorých sa nevystavujú faktúry za jednotlivý tovar, ale jedna faktúra za celú hodnotu tovaru</w:t>
            </w:r>
          </w:p>
          <w:p w:rsidR="00B17A56" w:rsidRDefault="00B17A56">
            <w:pPr>
              <w:ind w:left="252" w:hanging="252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4860" w:type="dxa"/>
          </w:tcPr>
          <w:p w:rsidR="00B17A56" w:rsidRDefault="00B17A56">
            <w:pPr>
              <w:tabs>
                <w:tab w:val="num" w:pos="432"/>
              </w:tabs>
              <w:ind w:left="432" w:hanging="432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</w:tr>
      <w:tr w:rsidR="00B17A56">
        <w:trPr>
          <w:trHeight w:val="1257"/>
        </w:trPr>
        <w:tc>
          <w:tcPr>
            <w:tcW w:w="4140" w:type="dxa"/>
          </w:tcPr>
          <w:p w:rsidR="00B17A56" w:rsidRDefault="00B17A56">
            <w:pPr>
              <w:ind w:left="252" w:hanging="252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9.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sk-SK"/>
              </w:rPr>
              <w:t>Iné transakcie, ktoré sa nedajú zaradiť pod iné kódy</w:t>
            </w:r>
          </w:p>
        </w:tc>
        <w:tc>
          <w:tcPr>
            <w:tcW w:w="4860" w:type="dxa"/>
          </w:tcPr>
          <w:p w:rsidR="00B17A56" w:rsidRDefault="00B17A56">
            <w:pPr>
              <w:tabs>
                <w:tab w:val="num" w:pos="432"/>
              </w:tabs>
              <w:ind w:left="432" w:hanging="432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1.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sk-SK"/>
              </w:rPr>
              <w:t xml:space="preserve">Prenájom, pôžička, </w:t>
            </w:r>
            <w:r w:rsidR="00F155F4">
              <w:rPr>
                <w:rFonts w:ascii="Arial" w:hAnsi="Arial" w:cs="Arial"/>
                <w:sz w:val="18"/>
                <w:szCs w:val="18"/>
                <w:lang w:val="sk-SK"/>
              </w:rPr>
              <w:t xml:space="preserve">operatívny </w:t>
            </w:r>
            <w:r>
              <w:rPr>
                <w:rFonts w:ascii="Arial" w:hAnsi="Arial" w:cs="Arial"/>
                <w:sz w:val="18"/>
                <w:szCs w:val="18"/>
                <w:lang w:val="sk-SK"/>
              </w:rPr>
              <w:t>lízing dlhšie ako 24 mesiacov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 xml:space="preserve"> </w:t>
            </w:r>
          </w:p>
          <w:p w:rsidR="00B17A56" w:rsidRDefault="00B17A56">
            <w:pPr>
              <w:tabs>
                <w:tab w:val="num" w:pos="432"/>
              </w:tabs>
              <w:ind w:left="432" w:hanging="432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2.      Nepriamy dovoz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sk-SK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a nepriamy vývoz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sk-SK"/>
              </w:rPr>
              <w:t>4</w:t>
            </w:r>
          </w:p>
          <w:p w:rsidR="00B17A56" w:rsidRDefault="00B17A56">
            <w:pPr>
              <w:tabs>
                <w:tab w:val="num" w:pos="432"/>
              </w:tabs>
              <w:ind w:left="432" w:hanging="432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3.      Premiestnenie tovaru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sk-SK"/>
              </w:rPr>
              <w:t>5</w:t>
            </w:r>
          </w:p>
          <w:p w:rsidR="00B17A56" w:rsidRDefault="00B17A56">
            <w:pPr>
              <w:tabs>
                <w:tab w:val="num" w:pos="432"/>
              </w:tabs>
              <w:ind w:left="432" w:hanging="432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9.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sk-SK"/>
              </w:rPr>
              <w:t>Transakcie inde nešpecifikované</w:t>
            </w:r>
          </w:p>
        </w:tc>
      </w:tr>
    </w:tbl>
    <w:p w:rsidR="00E5133F" w:rsidRDefault="00E5133F">
      <w:pPr>
        <w:spacing w:before="20" w:after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Poznámky:</w:t>
      </w:r>
    </w:p>
    <w:p w:rsidR="00E5133F" w:rsidRDefault="00E5133F">
      <w:pPr>
        <w:spacing w:before="20" w:after="20"/>
        <w:ind w:left="180" w:hanging="180"/>
        <w:jc w:val="both"/>
        <w:rPr>
          <w:rFonts w:ascii="Arial" w:hAnsi="Arial" w:cs="Arial"/>
          <w:sz w:val="16"/>
          <w:szCs w:val="16"/>
          <w:lang w:val="sk-SK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1 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  <w:lang w:val="sk-SK"/>
        </w:rPr>
        <w:t>Finančný lízing zahŕňa operácie, v ktorých splátky na prenájom sú vypočítané tak, aby pokryli celú alebo takmer celú hodnotu tovaru. Riziká a náhrady vlastníctva prechádzajú na nájomcu. Po ukončení zmluvy sa nájomca stáva zákonným vlastníkom tovaru.</w:t>
      </w:r>
    </w:p>
    <w:p w:rsidR="00E5133F" w:rsidRDefault="00E5133F">
      <w:pPr>
        <w:spacing w:before="20" w:after="20"/>
        <w:ind w:left="180" w:hanging="180"/>
        <w:jc w:val="both"/>
        <w:rPr>
          <w:rFonts w:ascii="Arial" w:hAnsi="Arial" w:cs="Arial"/>
          <w:sz w:val="16"/>
          <w:szCs w:val="16"/>
          <w:lang w:val="sk-SK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2 </w:t>
      </w:r>
      <w:r>
        <w:rPr>
          <w:rFonts w:ascii="Arial" w:hAnsi="Arial" w:cs="Arial"/>
          <w:sz w:val="16"/>
          <w:szCs w:val="16"/>
          <w:lang w:val="sk-SK"/>
        </w:rPr>
        <w:t>Spracovanie zahŕňa operácie (premenu, stavbu, montáž, zlepšenie, obnovu…) s cieľom vyrobiť nový alebo skutočne zdokonalený výrobok. Toto nevyhnutne neznamená zmenu zariadenia výrobku. Spracovateľská činnosť na vlastný účet spracovateľa nie je súčasťou tejto položky a mala by byť zaznamenaná pod položkou 1 v stĺpci A.</w:t>
      </w:r>
    </w:p>
    <w:p w:rsidR="00E5133F" w:rsidRDefault="00E5133F">
      <w:pPr>
        <w:spacing w:before="20" w:after="20"/>
        <w:ind w:left="180" w:hanging="180"/>
        <w:jc w:val="both"/>
        <w:rPr>
          <w:rFonts w:ascii="Arial" w:hAnsi="Arial" w:cs="Arial"/>
          <w:sz w:val="16"/>
          <w:szCs w:val="16"/>
          <w:lang w:val="sk-SK"/>
        </w:rPr>
      </w:pPr>
      <w:r>
        <w:rPr>
          <w:rFonts w:ascii="Arial" w:hAnsi="Arial" w:cs="Arial"/>
          <w:sz w:val="20"/>
          <w:szCs w:val="20"/>
          <w:vertAlign w:val="superscript"/>
          <w:lang w:val="sk-SK"/>
        </w:rPr>
        <w:t>3</w:t>
      </w:r>
      <w:r>
        <w:rPr>
          <w:rFonts w:ascii="Arial" w:hAnsi="Arial" w:cs="Arial"/>
          <w:sz w:val="20"/>
          <w:szCs w:val="20"/>
          <w:lang w:val="sk-SK"/>
        </w:rPr>
        <w:t xml:space="preserve"> </w:t>
      </w:r>
      <w:r>
        <w:rPr>
          <w:rFonts w:ascii="Arial" w:hAnsi="Arial" w:cs="Arial"/>
          <w:sz w:val="16"/>
          <w:szCs w:val="16"/>
          <w:lang w:val="sk-SK"/>
        </w:rPr>
        <w:t>Obchodná operácia, pri ktorej tovar dovážaný z nečlenského štátu do Slovenskej republiky, pričom colné formality sa uskutočňujú v inom členskom štáte.</w:t>
      </w:r>
    </w:p>
    <w:p w:rsidR="00E5133F" w:rsidRDefault="00E5133F">
      <w:pPr>
        <w:spacing w:before="20" w:after="20"/>
        <w:ind w:left="180" w:hanging="180"/>
        <w:jc w:val="both"/>
        <w:rPr>
          <w:rFonts w:ascii="Arial" w:hAnsi="Arial" w:cs="Arial"/>
          <w:sz w:val="16"/>
          <w:szCs w:val="16"/>
          <w:lang w:val="sk-SK"/>
        </w:rPr>
      </w:pPr>
      <w:r>
        <w:rPr>
          <w:rFonts w:ascii="Arial" w:hAnsi="Arial" w:cs="Arial"/>
          <w:sz w:val="20"/>
          <w:szCs w:val="20"/>
          <w:vertAlign w:val="superscript"/>
          <w:lang w:val="sk-SK"/>
        </w:rPr>
        <w:t>4</w:t>
      </w:r>
      <w:r>
        <w:rPr>
          <w:rFonts w:ascii="Arial" w:hAnsi="Arial" w:cs="Arial"/>
          <w:sz w:val="20"/>
          <w:szCs w:val="20"/>
          <w:lang w:val="sk-SK"/>
        </w:rPr>
        <w:t xml:space="preserve"> </w:t>
      </w:r>
      <w:r>
        <w:rPr>
          <w:rFonts w:ascii="Arial" w:hAnsi="Arial" w:cs="Arial"/>
          <w:sz w:val="16"/>
          <w:szCs w:val="16"/>
          <w:lang w:val="sk-SK"/>
        </w:rPr>
        <w:t>Obchodná operácia, pri ktorej je tovar vyvážaný do nečlenského štátu, pričom colné formality sa uskutočňujú v inom členskom štáte.</w:t>
      </w:r>
    </w:p>
    <w:p w:rsidR="00E5133F" w:rsidRDefault="00E5133F">
      <w:pPr>
        <w:spacing w:before="20" w:after="20"/>
        <w:jc w:val="both"/>
        <w:rPr>
          <w:rFonts w:ascii="Arial" w:hAnsi="Arial" w:cs="Arial"/>
          <w:sz w:val="16"/>
          <w:szCs w:val="16"/>
          <w:lang w:val="sk-SK"/>
        </w:rPr>
      </w:pPr>
      <w:r>
        <w:rPr>
          <w:rFonts w:ascii="Arial" w:hAnsi="Arial" w:cs="Arial"/>
          <w:sz w:val="20"/>
          <w:szCs w:val="20"/>
          <w:vertAlign w:val="superscript"/>
          <w:lang w:val="sk-SK"/>
        </w:rPr>
        <w:t xml:space="preserve">5  </w:t>
      </w:r>
      <w:r>
        <w:rPr>
          <w:rFonts w:ascii="Arial" w:hAnsi="Arial" w:cs="Arial"/>
          <w:sz w:val="16"/>
          <w:szCs w:val="16"/>
          <w:lang w:val="sk-SK"/>
        </w:rPr>
        <w:t>V súlade s platným zákonom o DPH podľa § 11 odsek 8 pre prijatie a podľa § 8 odsek 4 pre odoslanie tovaru</w:t>
      </w:r>
    </w:p>
    <w:p w:rsidR="00E5133F" w:rsidRDefault="00E5133F">
      <w:pPr>
        <w:pStyle w:val="Zkladntext2"/>
        <w:spacing w:after="0" w:line="240" w:lineRule="auto"/>
        <w:rPr>
          <w:rFonts w:ascii="Arial" w:hAnsi="Arial" w:cs="Arial"/>
          <w:sz w:val="20"/>
          <w:szCs w:val="20"/>
          <w:lang w:val="cs-CZ"/>
        </w:rPr>
      </w:pPr>
    </w:p>
    <w:p w:rsidR="00B17A56" w:rsidRDefault="00B17A56">
      <w:pPr>
        <w:pStyle w:val="Zkladntext2"/>
        <w:spacing w:after="0" w:line="240" w:lineRule="auto"/>
        <w:rPr>
          <w:rFonts w:ascii="Arial" w:hAnsi="Arial" w:cs="Arial"/>
          <w:sz w:val="20"/>
          <w:szCs w:val="20"/>
          <w:lang w:val="cs-CZ"/>
        </w:rPr>
      </w:pPr>
    </w:p>
    <w:p w:rsidR="00E5133F" w:rsidRDefault="00E5133F">
      <w:pPr>
        <w:pStyle w:val="Zkladntext2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Odsek 19 – Dodacie podmienky</w:t>
      </w:r>
    </w:p>
    <w:p w:rsidR="00E5133F" w:rsidRDefault="00E5133F">
      <w:pPr>
        <w:pStyle w:val="Zkladntext2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Uvedie sa dodacia podmienka, čo sú také ustanovenia zmluvy, ktoré určujú povinnosti kupujúceho a predávajúceho. </w:t>
      </w:r>
    </w:p>
    <w:p w:rsidR="00E5133F" w:rsidRDefault="00E5133F" w:rsidP="00AF6884">
      <w:pPr>
        <w:pStyle w:val="Zkladntext2"/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Použije sa medzinárodne používaný kód INCOTERMS</w:t>
      </w:r>
      <w:r w:rsidR="00F155F4">
        <w:rPr>
          <w:rFonts w:ascii="Arial" w:hAnsi="Arial" w:cs="Arial"/>
          <w:sz w:val="20"/>
          <w:szCs w:val="20"/>
        </w:rPr>
        <w:t>’2000 alebo INCOTERMS’2010</w:t>
      </w:r>
      <w:r>
        <w:rPr>
          <w:rFonts w:ascii="Arial" w:hAnsi="Arial" w:cs="Arial"/>
          <w:sz w:val="20"/>
          <w:szCs w:val="20"/>
        </w:rPr>
        <w:t xml:space="preserve"> pre dodacie podmienky. Tieto kódy zodpovedajú medzinárodným pravidlám výkladu dodacích podmienok vydaných medzinárodnou obchodnou komorou v</w:t>
      </w:r>
      <w:r w:rsidR="00F155F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Paríži</w:t>
      </w:r>
      <w:r w:rsidR="00F155F4">
        <w:rPr>
          <w:rFonts w:ascii="Arial" w:hAnsi="Arial" w:cs="Arial"/>
          <w:sz w:val="20"/>
          <w:szCs w:val="20"/>
        </w:rPr>
        <w:t>.</w:t>
      </w:r>
    </w:p>
    <w:tbl>
      <w:tblPr>
        <w:tblW w:w="783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242"/>
        <w:gridCol w:w="3112"/>
        <w:gridCol w:w="554"/>
        <w:gridCol w:w="242"/>
        <w:gridCol w:w="3126"/>
      </w:tblGrid>
      <w:tr w:rsidR="00F155F4" w:rsidRPr="00F155F4" w:rsidTr="00AF6884">
        <w:trPr>
          <w:trHeight w:val="283"/>
          <w:jc w:val="center"/>
        </w:trPr>
        <w:tc>
          <w:tcPr>
            <w:tcW w:w="3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F4" w:rsidRPr="00F155F4" w:rsidRDefault="00F155F4" w:rsidP="00F155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F155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k-SK" w:eastAsia="sk-SK"/>
              </w:rPr>
              <w:t>INCOTERMS’2000</w:t>
            </w:r>
          </w:p>
        </w:tc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F4" w:rsidRPr="00F155F4" w:rsidRDefault="00F155F4" w:rsidP="00F155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F155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k-SK" w:eastAsia="sk-SK"/>
              </w:rPr>
              <w:t>INCOTERMS’2010</w:t>
            </w:r>
          </w:p>
        </w:tc>
      </w:tr>
      <w:tr w:rsidR="00F155F4" w:rsidRPr="00F155F4" w:rsidTr="00F155F4">
        <w:trPr>
          <w:trHeight w:val="248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5F4" w:rsidRPr="00F155F4" w:rsidRDefault="00F155F4" w:rsidP="00F155F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155F4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EXW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5F4" w:rsidRPr="00F155F4" w:rsidRDefault="00F155F4" w:rsidP="00F155F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155F4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–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5F4" w:rsidRPr="00F155F4" w:rsidRDefault="00F155F4" w:rsidP="00F155F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155F4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 xml:space="preserve">Zo závodu 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5F4" w:rsidRPr="00F155F4" w:rsidRDefault="00F155F4" w:rsidP="00F155F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155F4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EXW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5F4" w:rsidRPr="00F155F4" w:rsidRDefault="00F155F4" w:rsidP="00F155F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155F4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–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F4" w:rsidRPr="00F155F4" w:rsidRDefault="00F155F4" w:rsidP="00F155F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155F4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 xml:space="preserve">Zo závodu </w:t>
            </w:r>
          </w:p>
        </w:tc>
      </w:tr>
      <w:tr w:rsidR="00F155F4" w:rsidRPr="00F155F4" w:rsidTr="00F155F4">
        <w:trPr>
          <w:trHeight w:val="248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5F4" w:rsidRPr="00F155F4" w:rsidRDefault="00F155F4" w:rsidP="00F155F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155F4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FCA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5F4" w:rsidRPr="00F155F4" w:rsidRDefault="00F155F4" w:rsidP="00F155F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155F4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–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5F4" w:rsidRPr="00F155F4" w:rsidRDefault="00F155F4" w:rsidP="00F155F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155F4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 xml:space="preserve">Vyplatené dopravcovi 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5F4" w:rsidRPr="00F155F4" w:rsidRDefault="00F155F4" w:rsidP="00F155F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155F4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FCA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5F4" w:rsidRPr="00F155F4" w:rsidRDefault="00F155F4" w:rsidP="00F155F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155F4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–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F4" w:rsidRPr="00F155F4" w:rsidRDefault="00F155F4" w:rsidP="00F155F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155F4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 xml:space="preserve">Vyplatené dopravcovi </w:t>
            </w:r>
          </w:p>
        </w:tc>
      </w:tr>
      <w:tr w:rsidR="00F155F4" w:rsidRPr="00F155F4" w:rsidTr="00F155F4">
        <w:trPr>
          <w:trHeight w:val="248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5F4" w:rsidRPr="00F155F4" w:rsidRDefault="00F155F4" w:rsidP="00F155F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155F4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FAS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5F4" w:rsidRPr="00F155F4" w:rsidRDefault="00F155F4" w:rsidP="00F155F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155F4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–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5F4" w:rsidRPr="00F155F4" w:rsidRDefault="00F155F4" w:rsidP="00F155F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155F4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 xml:space="preserve">Vyplatené k boku lode 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5F4" w:rsidRPr="00F155F4" w:rsidRDefault="00F155F4" w:rsidP="00F155F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155F4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FAS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5F4" w:rsidRPr="00F155F4" w:rsidRDefault="00F155F4" w:rsidP="00F155F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155F4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–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F4" w:rsidRPr="00F155F4" w:rsidRDefault="00F155F4" w:rsidP="00F155F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155F4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 xml:space="preserve">Vyplatené k boku lode </w:t>
            </w:r>
          </w:p>
        </w:tc>
      </w:tr>
      <w:tr w:rsidR="00F155F4" w:rsidRPr="00F155F4" w:rsidTr="00F155F4">
        <w:trPr>
          <w:trHeight w:val="248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5F4" w:rsidRPr="00F155F4" w:rsidRDefault="00F155F4" w:rsidP="00F155F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155F4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FOB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5F4" w:rsidRPr="00F155F4" w:rsidRDefault="00F155F4" w:rsidP="00F155F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155F4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–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5F4" w:rsidRPr="00F155F4" w:rsidRDefault="00F155F4" w:rsidP="00F155F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155F4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Vyplatené na palubu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5F4" w:rsidRPr="00F155F4" w:rsidRDefault="00F155F4" w:rsidP="00F155F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155F4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FOB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5F4" w:rsidRPr="00F155F4" w:rsidRDefault="00F155F4" w:rsidP="00F155F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155F4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–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F4" w:rsidRPr="00F155F4" w:rsidRDefault="00F155F4" w:rsidP="00F155F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155F4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Vyplatené na loď</w:t>
            </w:r>
          </w:p>
        </w:tc>
      </w:tr>
      <w:tr w:rsidR="00F155F4" w:rsidRPr="00F155F4" w:rsidTr="00F155F4">
        <w:trPr>
          <w:trHeight w:val="248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5F4" w:rsidRPr="00F155F4" w:rsidRDefault="00F155F4" w:rsidP="00F155F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155F4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CFR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5F4" w:rsidRPr="00F155F4" w:rsidRDefault="00F155F4" w:rsidP="00F155F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155F4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–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5F4" w:rsidRPr="00F155F4" w:rsidRDefault="00F155F4" w:rsidP="00F155F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155F4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 xml:space="preserve">Náklady a prepravné 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5F4" w:rsidRPr="00F155F4" w:rsidRDefault="00F155F4" w:rsidP="00F155F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155F4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CFR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5F4" w:rsidRPr="00F155F4" w:rsidRDefault="00F155F4" w:rsidP="00F155F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155F4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–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F4" w:rsidRPr="00F155F4" w:rsidRDefault="00F155F4" w:rsidP="00F155F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155F4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 xml:space="preserve">Náklady a prepravné </w:t>
            </w:r>
          </w:p>
        </w:tc>
      </w:tr>
      <w:tr w:rsidR="00F155F4" w:rsidRPr="00F155F4" w:rsidTr="00F155F4">
        <w:trPr>
          <w:trHeight w:val="248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5F4" w:rsidRPr="00F155F4" w:rsidRDefault="00F155F4" w:rsidP="00F155F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155F4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CIF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5F4" w:rsidRPr="00F155F4" w:rsidRDefault="00F155F4" w:rsidP="00F155F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155F4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–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5F4" w:rsidRPr="00F155F4" w:rsidRDefault="00F155F4" w:rsidP="00F155F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155F4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 xml:space="preserve">Náklady, poistenie a prepravné 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5F4" w:rsidRPr="00F155F4" w:rsidRDefault="00F155F4" w:rsidP="00F155F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155F4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CIF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5F4" w:rsidRPr="00F155F4" w:rsidRDefault="00F155F4" w:rsidP="00F155F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155F4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–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F4" w:rsidRPr="00F155F4" w:rsidRDefault="00F155F4" w:rsidP="00F155F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155F4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 xml:space="preserve">Náklady, poistenie a prepravné </w:t>
            </w:r>
          </w:p>
        </w:tc>
      </w:tr>
      <w:tr w:rsidR="00F155F4" w:rsidRPr="00F155F4" w:rsidTr="00F155F4">
        <w:trPr>
          <w:trHeight w:val="248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5F4" w:rsidRPr="00F155F4" w:rsidRDefault="00F155F4" w:rsidP="00F155F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155F4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CPT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5F4" w:rsidRPr="00F155F4" w:rsidRDefault="00F155F4" w:rsidP="00F155F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155F4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–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5F4" w:rsidRPr="00F155F4" w:rsidRDefault="00F155F4" w:rsidP="00F155F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155F4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 xml:space="preserve">Preprava platená do 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F4" w:rsidRPr="00F155F4" w:rsidRDefault="00F155F4" w:rsidP="00F155F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sk-SK" w:eastAsia="sk-SK"/>
              </w:rPr>
            </w:pPr>
            <w:r w:rsidRPr="00F155F4">
              <w:rPr>
                <w:rFonts w:ascii="Calibri" w:eastAsia="Times New Roman" w:hAnsi="Calibri"/>
                <w:color w:val="000000"/>
                <w:sz w:val="22"/>
                <w:szCs w:val="22"/>
                <w:lang w:val="sk-SK" w:eastAsia="sk-SK"/>
              </w:rPr>
              <w:t>CPT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5F4" w:rsidRPr="00F155F4" w:rsidRDefault="00F155F4" w:rsidP="00F155F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155F4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–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F4" w:rsidRPr="00F155F4" w:rsidRDefault="00F155F4" w:rsidP="00F155F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155F4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Preprava platená do</w:t>
            </w:r>
          </w:p>
        </w:tc>
      </w:tr>
      <w:tr w:rsidR="00F155F4" w:rsidRPr="00F155F4" w:rsidTr="00F155F4">
        <w:trPr>
          <w:trHeight w:val="248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5F4" w:rsidRPr="00F155F4" w:rsidRDefault="00F155F4" w:rsidP="00F155F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155F4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CIP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5F4" w:rsidRPr="00F155F4" w:rsidRDefault="00F155F4" w:rsidP="00F155F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155F4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–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5F4" w:rsidRPr="00F155F4" w:rsidRDefault="00F155F4" w:rsidP="00F155F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155F4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 xml:space="preserve">Preprava,  poistné platené do 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5F4" w:rsidRPr="00F155F4" w:rsidRDefault="00F155F4" w:rsidP="00F155F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155F4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CIP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5F4" w:rsidRPr="00F155F4" w:rsidRDefault="00F155F4" w:rsidP="00F155F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155F4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–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F4" w:rsidRPr="00F155F4" w:rsidRDefault="00F155F4" w:rsidP="00F155F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155F4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 xml:space="preserve">Preprava a poistenie platené do </w:t>
            </w:r>
          </w:p>
        </w:tc>
      </w:tr>
      <w:tr w:rsidR="00F155F4" w:rsidRPr="00F155F4" w:rsidTr="00F155F4">
        <w:trPr>
          <w:trHeight w:val="248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5F4" w:rsidRPr="00F155F4" w:rsidRDefault="00F155F4" w:rsidP="00F155F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155F4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DAF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5F4" w:rsidRPr="00F155F4" w:rsidRDefault="00F155F4" w:rsidP="00F155F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155F4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–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5F4" w:rsidRPr="00F155F4" w:rsidRDefault="00F155F4" w:rsidP="00F155F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155F4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 xml:space="preserve">S dodaním na hranicu 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5F4" w:rsidRPr="00F155F4" w:rsidRDefault="00F155F4" w:rsidP="00F155F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155F4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DAP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5F4" w:rsidRPr="00F155F4" w:rsidRDefault="00F155F4" w:rsidP="00F155F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155F4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–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F4" w:rsidRPr="00F155F4" w:rsidRDefault="00F155F4" w:rsidP="00F155F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155F4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S dodaním na miesto</w:t>
            </w:r>
          </w:p>
        </w:tc>
      </w:tr>
      <w:tr w:rsidR="00F155F4" w:rsidRPr="00F155F4" w:rsidTr="00F155F4">
        <w:trPr>
          <w:trHeight w:val="248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5F4" w:rsidRPr="00F155F4" w:rsidRDefault="00F155F4" w:rsidP="00F155F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155F4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DES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5F4" w:rsidRPr="00F155F4" w:rsidRDefault="00F155F4" w:rsidP="00F155F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155F4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–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5F4" w:rsidRPr="00F155F4" w:rsidRDefault="00F155F4" w:rsidP="00F155F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155F4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 xml:space="preserve">S dodaním z lode 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5F4" w:rsidRPr="00F155F4" w:rsidRDefault="00F155F4" w:rsidP="00F155F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155F4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DAT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5F4" w:rsidRPr="00F155F4" w:rsidRDefault="00F155F4" w:rsidP="00F155F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155F4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–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F4" w:rsidRPr="00F155F4" w:rsidRDefault="00F155F4" w:rsidP="00F155F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155F4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S dodaním na terminál</w:t>
            </w:r>
          </w:p>
        </w:tc>
      </w:tr>
      <w:tr w:rsidR="00F155F4" w:rsidRPr="00F155F4" w:rsidTr="00F155F4">
        <w:trPr>
          <w:trHeight w:val="248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5F4" w:rsidRPr="00F155F4" w:rsidRDefault="00F155F4" w:rsidP="00F155F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155F4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DEQ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5F4" w:rsidRPr="00F155F4" w:rsidRDefault="00F155F4" w:rsidP="00F155F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155F4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–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5F4" w:rsidRPr="00F155F4" w:rsidRDefault="00F155F4" w:rsidP="00F155F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155F4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 xml:space="preserve">S dodaním z nábrežia 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5F4" w:rsidRPr="00F155F4" w:rsidRDefault="00F155F4" w:rsidP="00F155F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155F4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DDP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5F4" w:rsidRPr="00F155F4" w:rsidRDefault="00F155F4" w:rsidP="00F155F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155F4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–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F4" w:rsidRPr="00F155F4" w:rsidRDefault="00F155F4" w:rsidP="00F155F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155F4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 xml:space="preserve">S dodaním clo platené </w:t>
            </w:r>
          </w:p>
        </w:tc>
      </w:tr>
      <w:tr w:rsidR="00F155F4" w:rsidRPr="00F155F4" w:rsidTr="00F155F4">
        <w:trPr>
          <w:trHeight w:val="248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5F4" w:rsidRPr="00F155F4" w:rsidRDefault="00F155F4" w:rsidP="00F155F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155F4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DDU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5F4" w:rsidRPr="00F155F4" w:rsidRDefault="00F155F4" w:rsidP="00F155F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155F4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–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5F4" w:rsidRPr="00F155F4" w:rsidRDefault="00F155F4" w:rsidP="00F155F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155F4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 xml:space="preserve">S dodaním clo neplatené 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5F4" w:rsidRPr="00F155F4" w:rsidRDefault="00F155F4" w:rsidP="00F155F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155F4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F4" w:rsidRPr="00F155F4" w:rsidRDefault="00F155F4" w:rsidP="00F155F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F4" w:rsidRPr="00F155F4" w:rsidRDefault="00F155F4" w:rsidP="00F155F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sk-SK" w:eastAsia="sk-SK"/>
              </w:rPr>
            </w:pPr>
            <w:r w:rsidRPr="00F155F4">
              <w:rPr>
                <w:rFonts w:ascii="Calibri" w:eastAsia="Times New Roman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F155F4" w:rsidRPr="00F155F4" w:rsidTr="00F155F4">
        <w:trPr>
          <w:trHeight w:val="248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55F4" w:rsidRPr="00F155F4" w:rsidRDefault="00F155F4" w:rsidP="00F155F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155F4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DDP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55F4" w:rsidRPr="00F155F4" w:rsidRDefault="00F155F4" w:rsidP="00F155F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155F4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–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55F4" w:rsidRPr="00F155F4" w:rsidRDefault="00F155F4" w:rsidP="00F155F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155F4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 xml:space="preserve">S dodaním clo platené 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55F4" w:rsidRPr="00F155F4" w:rsidRDefault="00F155F4" w:rsidP="00F155F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155F4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5F4" w:rsidRPr="00F155F4" w:rsidRDefault="00F155F4" w:rsidP="00F155F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sk-SK" w:eastAsia="sk-SK"/>
              </w:rPr>
            </w:pPr>
            <w:r w:rsidRPr="00F155F4">
              <w:rPr>
                <w:rFonts w:ascii="Calibri" w:eastAsia="Times New Roman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F4" w:rsidRPr="00F155F4" w:rsidRDefault="00F155F4" w:rsidP="00F155F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sk-SK" w:eastAsia="sk-SK"/>
              </w:rPr>
            </w:pPr>
            <w:r w:rsidRPr="00F155F4">
              <w:rPr>
                <w:rFonts w:ascii="Calibri" w:eastAsia="Times New Roman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</w:tbl>
    <w:p w:rsidR="00E5133F" w:rsidRDefault="00E5133F">
      <w:pPr>
        <w:pStyle w:val="Zkladntext3"/>
        <w:tabs>
          <w:tab w:val="left" w:pos="709"/>
          <w:tab w:val="left" w:pos="1134"/>
          <w:tab w:val="left" w:pos="4860"/>
        </w:tabs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XXX</w:t>
      </w:r>
      <w:r>
        <w:rPr>
          <w:rFonts w:ascii="Arial" w:hAnsi="Arial" w:cs="Arial"/>
          <w:sz w:val="18"/>
          <w:szCs w:val="18"/>
        </w:rPr>
        <w:tab/>
        <w:t>–</w:t>
      </w:r>
      <w:r>
        <w:rPr>
          <w:rFonts w:ascii="Arial" w:hAnsi="Arial" w:cs="Arial"/>
          <w:sz w:val="18"/>
          <w:szCs w:val="18"/>
        </w:rPr>
        <w:tab/>
        <w:t xml:space="preserve">Ak sú podmienky dodania iné než vyššie uvedené. </w:t>
      </w:r>
    </w:p>
    <w:p w:rsidR="00E5133F" w:rsidRDefault="00E5133F">
      <w:pPr>
        <w:pStyle w:val="Zkladntext2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5133F" w:rsidRDefault="00E5133F">
      <w:pPr>
        <w:pStyle w:val="Zkladntext2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Odsek 20 – Druh dopravy</w:t>
      </w:r>
    </w:p>
    <w:p w:rsidR="00E5133F" w:rsidRDefault="00E5133F">
      <w:pPr>
        <w:pStyle w:val="Zkladntext2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Uvedie sa kód predpokladaného spôsobu dopravy podľa aktívneho dopravného prostriedku, ktorým tovar opustil územie Slovenskej republiky. </w:t>
      </w:r>
    </w:p>
    <w:p w:rsidR="00E5133F" w:rsidRDefault="00E5133F">
      <w:pPr>
        <w:pStyle w:val="Zkladntext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Použijú sa nasledovné kódy:</w:t>
      </w:r>
    </w:p>
    <w:p w:rsidR="00E5133F" w:rsidRDefault="00E5133F">
      <w:pPr>
        <w:tabs>
          <w:tab w:val="left" w:pos="0"/>
          <w:tab w:val="left" w:pos="2948"/>
          <w:tab w:val="left" w:pos="5940"/>
        </w:tabs>
        <w:jc w:val="both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2 – Železničná doprava</w:t>
      </w:r>
      <w:r>
        <w:rPr>
          <w:rFonts w:ascii="Arial" w:hAnsi="Arial" w:cs="Arial"/>
          <w:sz w:val="18"/>
          <w:szCs w:val="18"/>
          <w:lang w:val="sk-SK"/>
        </w:rPr>
        <w:tab/>
        <w:t>5 – Poštová zásielka</w:t>
      </w:r>
      <w:r>
        <w:rPr>
          <w:rFonts w:ascii="Arial" w:hAnsi="Arial" w:cs="Arial"/>
          <w:sz w:val="18"/>
          <w:szCs w:val="18"/>
          <w:lang w:val="sk-SK"/>
        </w:rPr>
        <w:tab/>
        <w:t>8 – Vnútrozemská vodná doprava</w:t>
      </w:r>
    </w:p>
    <w:p w:rsidR="00E5133F" w:rsidRDefault="00E5133F">
      <w:pPr>
        <w:tabs>
          <w:tab w:val="left" w:pos="0"/>
          <w:tab w:val="left" w:pos="2948"/>
          <w:tab w:val="left" w:pos="5940"/>
        </w:tabs>
        <w:jc w:val="both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3 – Cestná doprava</w:t>
      </w:r>
      <w:r>
        <w:rPr>
          <w:rFonts w:ascii="Arial" w:hAnsi="Arial" w:cs="Arial"/>
          <w:sz w:val="18"/>
          <w:szCs w:val="18"/>
          <w:lang w:val="sk-SK"/>
        </w:rPr>
        <w:tab/>
        <w:t>7 – Vedením a potrubím</w:t>
      </w:r>
      <w:r>
        <w:rPr>
          <w:rFonts w:ascii="Arial" w:hAnsi="Arial" w:cs="Arial"/>
          <w:sz w:val="18"/>
          <w:szCs w:val="18"/>
          <w:lang w:val="sk-SK"/>
        </w:rPr>
        <w:tab/>
        <w:t>9 – Vlastný pohon</w:t>
      </w:r>
    </w:p>
    <w:p w:rsidR="00E5133F" w:rsidRDefault="00E5133F">
      <w:pPr>
        <w:tabs>
          <w:tab w:val="left" w:pos="0"/>
          <w:tab w:val="left" w:pos="2948"/>
          <w:tab w:val="left" w:pos="5940"/>
        </w:tabs>
        <w:jc w:val="both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4 – Letecká doprava</w:t>
      </w:r>
      <w:r>
        <w:rPr>
          <w:rFonts w:ascii="Arial" w:hAnsi="Arial" w:cs="Arial"/>
          <w:sz w:val="18"/>
          <w:szCs w:val="18"/>
          <w:lang w:val="sk-SK"/>
        </w:rPr>
        <w:tab/>
      </w:r>
    </w:p>
    <w:p w:rsidR="00E5133F" w:rsidRPr="00E312EA" w:rsidRDefault="00E5133F">
      <w:pPr>
        <w:pStyle w:val="Zkladntext2"/>
        <w:spacing w:after="0" w:line="240" w:lineRule="auto"/>
        <w:rPr>
          <w:rFonts w:ascii="Arial" w:hAnsi="Arial" w:cs="Arial"/>
          <w:sz w:val="18"/>
          <w:szCs w:val="18"/>
        </w:rPr>
      </w:pPr>
    </w:p>
    <w:p w:rsidR="00E5133F" w:rsidRDefault="00E5133F">
      <w:pPr>
        <w:pStyle w:val="Zkladntext2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Odsek 21 – Podpis</w:t>
      </w:r>
    </w:p>
    <w:p w:rsidR="00E5133F" w:rsidRPr="00E312EA" w:rsidRDefault="00E312EA" w:rsidP="00E312EA">
      <w:pPr>
        <w:pStyle w:val="Zkladntext2"/>
        <w:spacing w:after="0" w:line="240" w:lineRule="auto"/>
        <w:rPr>
          <w:rFonts w:ascii="Arial" w:hAnsi="Arial" w:cs="Arial"/>
          <w:sz w:val="20"/>
          <w:szCs w:val="20"/>
        </w:rPr>
      </w:pPr>
      <w:r w:rsidRPr="00E312EA">
        <w:rPr>
          <w:rFonts w:ascii="Arial" w:hAnsi="Arial" w:cs="Arial"/>
          <w:noProof/>
          <w:sz w:val="20"/>
          <w:szCs w:val="20"/>
        </w:rPr>
        <w:t xml:space="preserve">Vzhľadom k tomu, že </w:t>
      </w:r>
      <w:r w:rsidRPr="00E312EA">
        <w:rPr>
          <w:rFonts w:ascii="Arial" w:hAnsi="Arial" w:cs="Arial"/>
          <w:sz w:val="20"/>
          <w:szCs w:val="20"/>
        </w:rPr>
        <w:t>hlásenie</w:t>
      </w:r>
      <w:r w:rsidRPr="00E312EA">
        <w:rPr>
          <w:rFonts w:ascii="Arial" w:hAnsi="Arial" w:cs="Arial"/>
          <w:noProof/>
          <w:sz w:val="20"/>
          <w:szCs w:val="20"/>
        </w:rPr>
        <w:t xml:space="preserve"> je možné zasielať už len v elektronickej forme, podpis je nahradený pristupovým menom a heslom zaslaným Štatistickým úradom SR.</w:t>
      </w:r>
    </w:p>
    <w:p w:rsidR="00E312EA" w:rsidRPr="00E312EA" w:rsidRDefault="00E312EA">
      <w:pPr>
        <w:pStyle w:val="Zkladntext2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E5133F" w:rsidRDefault="00E5133F">
      <w:pPr>
        <w:pStyle w:val="Zkladntext2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Odsek 22 – Kontaktné informácie</w:t>
      </w:r>
    </w:p>
    <w:p w:rsidR="00E5133F" w:rsidRDefault="00E5133F" w:rsidP="00E312EA">
      <w:pPr>
        <w:pStyle w:val="Zkladntext"/>
        <w:jc w:val="both"/>
        <w:rPr>
          <w:lang w:val="sk-SK"/>
        </w:rPr>
      </w:pPr>
      <w:r>
        <w:rPr>
          <w:lang w:val="sk-SK"/>
        </w:rPr>
        <w:t>Uvedie sa meno osoby, ktorá hlásenie zostavila, spolu s adresou pracoviska, telefónnym a faxovým číslom a e-mailovou adresou, na ktorých ju možno kontaktovať.</w:t>
      </w:r>
    </w:p>
    <w:sectPr w:rsidR="00E5133F">
      <w:pgSz w:w="11907" w:h="16840" w:code="9"/>
      <w:pgMar w:top="851" w:right="1418" w:bottom="851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DCB"/>
    <w:multiLevelType w:val="hybridMultilevel"/>
    <w:tmpl w:val="4EA4379E"/>
    <w:lvl w:ilvl="0" w:tplc="CB30AF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7B42FB8">
      <w:start w:val="1"/>
      <w:numFmt w:val="lowerLetter"/>
      <w:lvlText w:val="(%2)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2" w:tplc="3ABC8DA8">
      <w:start w:val="7"/>
      <w:numFmt w:val="lowerLetter"/>
      <w:lvlText w:val="(%3)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3" w:tplc="2CA65D9E">
      <w:start w:val="1"/>
      <w:numFmt w:val="bullet"/>
      <w:lvlText w:val="-"/>
      <w:lvlJc w:val="left"/>
      <w:pPr>
        <w:tabs>
          <w:tab w:val="num" w:pos="927"/>
        </w:tabs>
        <w:ind w:left="737" w:hanging="170"/>
      </w:pPr>
      <w:rPr>
        <w:rFonts w:hint="default"/>
        <w:color w:val="auto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B6845"/>
    <w:multiLevelType w:val="singleLevel"/>
    <w:tmpl w:val="03E6FD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C17711B"/>
    <w:multiLevelType w:val="singleLevel"/>
    <w:tmpl w:val="0D443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E3C4A28"/>
    <w:multiLevelType w:val="singleLevel"/>
    <w:tmpl w:val="5B765792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02100AB"/>
    <w:multiLevelType w:val="singleLevel"/>
    <w:tmpl w:val="A1909AD2"/>
    <w:lvl w:ilvl="0">
      <w:start w:val="1"/>
      <w:numFmt w:val="lowerLetter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5">
    <w:nsid w:val="15645AF2"/>
    <w:multiLevelType w:val="singleLevel"/>
    <w:tmpl w:val="03E6FD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27285DC3"/>
    <w:multiLevelType w:val="singleLevel"/>
    <w:tmpl w:val="0D443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928200B"/>
    <w:multiLevelType w:val="hybridMultilevel"/>
    <w:tmpl w:val="75605B98"/>
    <w:lvl w:ilvl="0" w:tplc="CB30AF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7B42FB8">
      <w:start w:val="1"/>
      <w:numFmt w:val="lowerLetter"/>
      <w:lvlText w:val="(%2)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2" w:tplc="3ABC8DA8">
      <w:start w:val="7"/>
      <w:numFmt w:val="lowerLetter"/>
      <w:lvlText w:val="(%3)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3" w:tplc="3E944444">
      <w:start w:val="1"/>
      <w:numFmt w:val="bullet"/>
      <w:lvlText w:val="-"/>
      <w:lvlJc w:val="left"/>
      <w:pPr>
        <w:tabs>
          <w:tab w:val="num" w:pos="927"/>
        </w:tabs>
        <w:ind w:left="737" w:hanging="170"/>
      </w:pPr>
      <w:rPr>
        <w:rFonts w:hint="default"/>
        <w:color w:val="auto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41848C3"/>
    <w:multiLevelType w:val="singleLevel"/>
    <w:tmpl w:val="5AEA5DAA"/>
    <w:lvl w:ilvl="0">
      <w:start w:val="8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</w:abstractNum>
  <w:abstractNum w:abstractNumId="9">
    <w:nsid w:val="3A4E7927"/>
    <w:multiLevelType w:val="singleLevel"/>
    <w:tmpl w:val="0D443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3EB61C9E"/>
    <w:multiLevelType w:val="singleLevel"/>
    <w:tmpl w:val="44C48C9A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cs="Times New Roman"/>
        <w:b w:val="0"/>
        <w:bCs w:val="0"/>
        <w:i w:val="0"/>
        <w:iCs w:val="0"/>
        <w:sz w:val="20"/>
        <w:szCs w:val="20"/>
      </w:rPr>
    </w:lvl>
  </w:abstractNum>
  <w:abstractNum w:abstractNumId="11">
    <w:nsid w:val="3F1703EA"/>
    <w:multiLevelType w:val="hybridMultilevel"/>
    <w:tmpl w:val="75605B98"/>
    <w:lvl w:ilvl="0" w:tplc="CB30AF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77E024E">
      <w:start w:val="1"/>
      <w:numFmt w:val="lowerLetter"/>
      <w:lvlText w:val="%2)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2" w:tplc="A45E4772">
      <w:start w:val="7"/>
      <w:numFmt w:val="lowerLetter"/>
      <w:lvlText w:val="%3)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3" w:tplc="6C98813C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7CA4E9B"/>
    <w:multiLevelType w:val="singleLevel"/>
    <w:tmpl w:val="0D443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49144BF6"/>
    <w:multiLevelType w:val="singleLevel"/>
    <w:tmpl w:val="9D646E7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E171483"/>
    <w:multiLevelType w:val="singleLevel"/>
    <w:tmpl w:val="03E6FD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540D40C1"/>
    <w:multiLevelType w:val="singleLevel"/>
    <w:tmpl w:val="308CEFCA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</w:abstractNum>
  <w:abstractNum w:abstractNumId="16">
    <w:nsid w:val="5BC73BBE"/>
    <w:multiLevelType w:val="singleLevel"/>
    <w:tmpl w:val="0D443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5D62376F"/>
    <w:multiLevelType w:val="singleLevel"/>
    <w:tmpl w:val="0D443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5DD21D5A"/>
    <w:multiLevelType w:val="singleLevel"/>
    <w:tmpl w:val="0D443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619C7B9E"/>
    <w:multiLevelType w:val="singleLevel"/>
    <w:tmpl w:val="3DC86E4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61C10424"/>
    <w:multiLevelType w:val="singleLevel"/>
    <w:tmpl w:val="03E6FD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7512113F"/>
    <w:multiLevelType w:val="singleLevel"/>
    <w:tmpl w:val="03E6FD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A6D766D"/>
    <w:multiLevelType w:val="singleLevel"/>
    <w:tmpl w:val="A084713E"/>
    <w:lvl w:ilvl="0">
      <w:numFmt w:val="bullet"/>
      <w:lvlText w:val=""/>
      <w:lvlJc w:val="left"/>
      <w:pPr>
        <w:tabs>
          <w:tab w:val="num" w:pos="1065"/>
        </w:tabs>
        <w:ind w:left="1065" w:hanging="360"/>
      </w:pPr>
      <w:rPr>
        <w:rFonts w:ascii="Monotype Sorts" w:hAnsi="Monotype Sorts" w:hint="default"/>
        <w:color w:val="auto"/>
        <w:sz w:val="28"/>
      </w:rPr>
    </w:lvl>
  </w:abstractNum>
  <w:abstractNum w:abstractNumId="23">
    <w:nsid w:val="7E5258D0"/>
    <w:multiLevelType w:val="singleLevel"/>
    <w:tmpl w:val="03E6FD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9"/>
  </w:num>
  <w:num w:numId="2">
    <w:abstractNumId w:val="22"/>
  </w:num>
  <w:num w:numId="3">
    <w:abstractNumId w:val="5"/>
  </w:num>
  <w:num w:numId="4">
    <w:abstractNumId w:val="14"/>
  </w:num>
  <w:num w:numId="5">
    <w:abstractNumId w:val="4"/>
  </w:num>
  <w:num w:numId="6">
    <w:abstractNumId w:val="1"/>
  </w:num>
  <w:num w:numId="7">
    <w:abstractNumId w:val="23"/>
  </w:num>
  <w:num w:numId="8">
    <w:abstractNumId w:val="20"/>
  </w:num>
  <w:num w:numId="9">
    <w:abstractNumId w:val="3"/>
  </w:num>
  <w:num w:numId="10">
    <w:abstractNumId w:val="21"/>
  </w:num>
  <w:num w:numId="11">
    <w:abstractNumId w:val="18"/>
  </w:num>
  <w:num w:numId="12">
    <w:abstractNumId w:val="2"/>
  </w:num>
  <w:num w:numId="13">
    <w:abstractNumId w:val="17"/>
  </w:num>
  <w:num w:numId="14">
    <w:abstractNumId w:val="16"/>
  </w:num>
  <w:num w:numId="15">
    <w:abstractNumId w:val="9"/>
  </w:num>
  <w:num w:numId="16">
    <w:abstractNumId w:val="6"/>
  </w:num>
  <w:num w:numId="17">
    <w:abstractNumId w:val="12"/>
  </w:num>
  <w:num w:numId="18">
    <w:abstractNumId w:val="13"/>
  </w:num>
  <w:num w:numId="19">
    <w:abstractNumId w:val="8"/>
  </w:num>
  <w:num w:numId="20">
    <w:abstractNumId w:val="15"/>
  </w:num>
  <w:num w:numId="21">
    <w:abstractNumId w:val="10"/>
  </w:num>
  <w:num w:numId="22">
    <w:abstractNumId w:val="11"/>
  </w:num>
  <w:num w:numId="23">
    <w:abstractNumId w:val="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trackRevisions/>
  <w:defaultTabStop w:val="709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3F"/>
    <w:rsid w:val="00052710"/>
    <w:rsid w:val="001C6347"/>
    <w:rsid w:val="002F5FAF"/>
    <w:rsid w:val="00353E43"/>
    <w:rsid w:val="003B53E4"/>
    <w:rsid w:val="00414A08"/>
    <w:rsid w:val="004A0018"/>
    <w:rsid w:val="0057351C"/>
    <w:rsid w:val="005D68BF"/>
    <w:rsid w:val="00632E18"/>
    <w:rsid w:val="006C422E"/>
    <w:rsid w:val="0075503D"/>
    <w:rsid w:val="00833230"/>
    <w:rsid w:val="008924B4"/>
    <w:rsid w:val="008D5F23"/>
    <w:rsid w:val="008E3D8B"/>
    <w:rsid w:val="0094496D"/>
    <w:rsid w:val="00953EA4"/>
    <w:rsid w:val="0096198B"/>
    <w:rsid w:val="009A5825"/>
    <w:rsid w:val="009B2003"/>
    <w:rsid w:val="00AF6884"/>
    <w:rsid w:val="00B17A56"/>
    <w:rsid w:val="00BD18BF"/>
    <w:rsid w:val="00C01345"/>
    <w:rsid w:val="00C975B1"/>
    <w:rsid w:val="00D74388"/>
    <w:rsid w:val="00DB32E5"/>
    <w:rsid w:val="00DB48FD"/>
    <w:rsid w:val="00DE0278"/>
    <w:rsid w:val="00E07A9C"/>
    <w:rsid w:val="00E312EA"/>
    <w:rsid w:val="00E314C7"/>
    <w:rsid w:val="00E5133F"/>
    <w:rsid w:val="00EE44C7"/>
    <w:rsid w:val="00F1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ind w:left="432" w:hanging="540"/>
      <w:jc w:val="center"/>
      <w:outlineLvl w:val="0"/>
    </w:pPr>
    <w:rPr>
      <w:rFonts w:ascii="Arial" w:hAnsi="Arial" w:cs="Arial"/>
      <w:b/>
      <w:bCs/>
      <w:sz w:val="16"/>
      <w:szCs w:val="16"/>
      <w:lang w:val="sk-SK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left="432" w:hanging="540"/>
      <w:jc w:val="center"/>
      <w:outlineLvl w:val="1"/>
    </w:pPr>
    <w:rPr>
      <w:rFonts w:ascii="Arial" w:hAnsi="Arial" w:cs="Arial"/>
      <w:b/>
      <w:bCs/>
      <w:sz w:val="18"/>
      <w:szCs w:val="18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spacing w:after="20"/>
      <w:ind w:left="284" w:hanging="284"/>
      <w:jc w:val="center"/>
      <w:outlineLvl w:val="2"/>
    </w:pPr>
    <w:rPr>
      <w:rFonts w:ascii="Arial" w:hAnsi="Arial" w:cs="Arial"/>
      <w:b/>
      <w:bCs/>
      <w:sz w:val="18"/>
      <w:szCs w:val="18"/>
      <w:lang w:val="sk-SK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ind w:left="319" w:hanging="343"/>
      <w:jc w:val="center"/>
      <w:outlineLvl w:val="3"/>
    </w:pPr>
    <w:rPr>
      <w:rFonts w:ascii="Arial" w:hAnsi="Arial" w:cs="Arial"/>
      <w:b/>
      <w:bCs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cs-CZ"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cs="Times New Roman"/>
      <w:b/>
      <w:bCs/>
      <w:sz w:val="28"/>
      <w:szCs w:val="28"/>
      <w:lang w:val="cs-CZ" w:eastAsia="cs-CZ"/>
    </w:rPr>
  </w:style>
  <w:style w:type="paragraph" w:styleId="Zkladntext2">
    <w:name w:val="Body Text 2"/>
    <w:basedOn w:val="Normlny"/>
    <w:link w:val="Zkladntext2Char"/>
    <w:uiPriority w:val="99"/>
    <w:pPr>
      <w:spacing w:after="120" w:line="360" w:lineRule="auto"/>
      <w:jc w:val="both"/>
    </w:pPr>
    <w:rPr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styleId="Zarkazkladnhotextu3">
    <w:name w:val="Body Text Indent 3"/>
    <w:basedOn w:val="Normlny"/>
    <w:link w:val="Zarkazkladnhotextu3Char"/>
    <w:uiPriority w:val="99"/>
    <w:pPr>
      <w:spacing w:after="120"/>
      <w:ind w:left="170" w:hanging="170"/>
    </w:pPr>
    <w:rPr>
      <w:rFonts w:ascii="Arial" w:hAnsi="Arial" w:cs="Arial"/>
      <w:sz w:val="20"/>
      <w:szCs w:val="20"/>
      <w:lang w:val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ascii="Times New Roman" w:hAnsi="Times New Roman" w:cs="Times New Roman"/>
      <w:sz w:val="16"/>
      <w:szCs w:val="16"/>
      <w:lang w:val="cs-CZ" w:eastAsia="cs-CZ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lang w:val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ascii="Times New Roman" w:hAnsi="Times New Roman" w:cs="Times New Roman"/>
      <w:sz w:val="16"/>
      <w:szCs w:val="16"/>
      <w:lang w:val="cs-CZ" w:eastAsia="cs-CZ"/>
    </w:rPr>
  </w:style>
  <w:style w:type="paragraph" w:styleId="Zkladntext">
    <w:name w:val="Body Text"/>
    <w:basedOn w:val="Normlny"/>
    <w:link w:val="ZkladntextChar"/>
    <w:uiPriority w:val="99"/>
    <w:rPr>
      <w:rFonts w:ascii="Arial" w:hAnsi="Arial" w:cs="Arial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pPr>
      <w:spacing w:after="20"/>
      <w:ind w:left="312" w:hanging="312"/>
    </w:pPr>
    <w:rPr>
      <w:rFonts w:ascii="Arial" w:hAnsi="Arial" w:cs="Arial"/>
      <w:sz w:val="18"/>
      <w:szCs w:val="18"/>
      <w:lang w:val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3E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53EA4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ind w:left="432" w:hanging="540"/>
      <w:jc w:val="center"/>
      <w:outlineLvl w:val="0"/>
    </w:pPr>
    <w:rPr>
      <w:rFonts w:ascii="Arial" w:hAnsi="Arial" w:cs="Arial"/>
      <w:b/>
      <w:bCs/>
      <w:sz w:val="16"/>
      <w:szCs w:val="16"/>
      <w:lang w:val="sk-SK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left="432" w:hanging="540"/>
      <w:jc w:val="center"/>
      <w:outlineLvl w:val="1"/>
    </w:pPr>
    <w:rPr>
      <w:rFonts w:ascii="Arial" w:hAnsi="Arial" w:cs="Arial"/>
      <w:b/>
      <w:bCs/>
      <w:sz w:val="18"/>
      <w:szCs w:val="18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spacing w:after="20"/>
      <w:ind w:left="284" w:hanging="284"/>
      <w:jc w:val="center"/>
      <w:outlineLvl w:val="2"/>
    </w:pPr>
    <w:rPr>
      <w:rFonts w:ascii="Arial" w:hAnsi="Arial" w:cs="Arial"/>
      <w:b/>
      <w:bCs/>
      <w:sz w:val="18"/>
      <w:szCs w:val="18"/>
      <w:lang w:val="sk-SK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ind w:left="319" w:hanging="343"/>
      <w:jc w:val="center"/>
      <w:outlineLvl w:val="3"/>
    </w:pPr>
    <w:rPr>
      <w:rFonts w:ascii="Arial" w:hAnsi="Arial" w:cs="Arial"/>
      <w:b/>
      <w:bCs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cs-CZ"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cs="Times New Roman"/>
      <w:b/>
      <w:bCs/>
      <w:sz w:val="28"/>
      <w:szCs w:val="28"/>
      <w:lang w:val="cs-CZ" w:eastAsia="cs-CZ"/>
    </w:rPr>
  </w:style>
  <w:style w:type="paragraph" w:styleId="Zkladntext2">
    <w:name w:val="Body Text 2"/>
    <w:basedOn w:val="Normlny"/>
    <w:link w:val="Zkladntext2Char"/>
    <w:uiPriority w:val="99"/>
    <w:pPr>
      <w:spacing w:after="120" w:line="360" w:lineRule="auto"/>
      <w:jc w:val="both"/>
    </w:pPr>
    <w:rPr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styleId="Zarkazkladnhotextu3">
    <w:name w:val="Body Text Indent 3"/>
    <w:basedOn w:val="Normlny"/>
    <w:link w:val="Zarkazkladnhotextu3Char"/>
    <w:uiPriority w:val="99"/>
    <w:pPr>
      <w:spacing w:after="120"/>
      <w:ind w:left="170" w:hanging="170"/>
    </w:pPr>
    <w:rPr>
      <w:rFonts w:ascii="Arial" w:hAnsi="Arial" w:cs="Arial"/>
      <w:sz w:val="20"/>
      <w:szCs w:val="20"/>
      <w:lang w:val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ascii="Times New Roman" w:hAnsi="Times New Roman" w:cs="Times New Roman"/>
      <w:sz w:val="16"/>
      <w:szCs w:val="16"/>
      <w:lang w:val="cs-CZ" w:eastAsia="cs-CZ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lang w:val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ascii="Times New Roman" w:hAnsi="Times New Roman" w:cs="Times New Roman"/>
      <w:sz w:val="16"/>
      <w:szCs w:val="16"/>
      <w:lang w:val="cs-CZ" w:eastAsia="cs-CZ"/>
    </w:rPr>
  </w:style>
  <w:style w:type="paragraph" w:styleId="Zkladntext">
    <w:name w:val="Body Text"/>
    <w:basedOn w:val="Normlny"/>
    <w:link w:val="ZkladntextChar"/>
    <w:uiPriority w:val="99"/>
    <w:rPr>
      <w:rFonts w:ascii="Arial" w:hAnsi="Arial" w:cs="Arial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pPr>
      <w:spacing w:after="20"/>
      <w:ind w:left="312" w:hanging="312"/>
    </w:pPr>
    <w:rPr>
      <w:rFonts w:ascii="Arial" w:hAnsi="Arial" w:cs="Arial"/>
      <w:sz w:val="18"/>
      <w:szCs w:val="18"/>
      <w:lang w:val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3E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53EA4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2073</Words>
  <Characters>11821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METODICKÉ VYSVETLIVKY</vt:lpstr>
    </vt:vector>
  </TitlesOfParts>
  <Company>Štatistický úrad SR</Company>
  <LinksUpToDate>false</LinksUpToDate>
  <CharactersWithSpaces>13867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VYSVETLIVKY</dc:title>
  <dc:creator>******</dc:creator>
  <cp:lastModifiedBy>Šimonovičová Tatiana</cp:lastModifiedBy>
  <cp:revision>2</cp:revision>
  <cp:lastPrinted>2012-02-01T12:20:00Z</cp:lastPrinted>
  <dcterms:created xsi:type="dcterms:W3CDTF">2013-01-15T07:00:00Z</dcterms:created>
  <dcterms:modified xsi:type="dcterms:W3CDTF">2013-01-15T07:00:00Z</dcterms:modified>
</cp:coreProperties>
</file>